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F1" w:rsidRPr="00E661F1" w:rsidRDefault="00E661F1" w:rsidP="00E661F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GB" w:eastAsia="en-GB"/>
        </w:rPr>
      </w:pPr>
      <w:r w:rsidRPr="00E661F1">
        <w:rPr>
          <w:rFonts w:ascii="Arial" w:eastAsia="Times New Roman" w:hAnsi="Arial" w:cs="Arial"/>
          <w:b/>
          <w:i/>
          <w:sz w:val="32"/>
          <w:szCs w:val="32"/>
          <w:lang w:val="en-GB" w:eastAsia="en-GB"/>
        </w:rPr>
        <w:t>In vivo</w:t>
      </w:r>
      <w:r w:rsidRPr="00E661F1">
        <w:rPr>
          <w:rFonts w:ascii="Arial" w:eastAsia="Times New Roman" w:hAnsi="Arial" w:cs="Arial"/>
          <w:b/>
          <w:sz w:val="32"/>
          <w:szCs w:val="32"/>
          <w:lang w:val="en-GB" w:eastAsia="en-GB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n-GB" w:eastAsia="en-GB"/>
        </w:rPr>
        <w:t xml:space="preserve">and </w:t>
      </w:r>
      <w:r w:rsidRPr="00E661F1">
        <w:rPr>
          <w:rFonts w:ascii="Arial" w:eastAsia="Times New Roman" w:hAnsi="Arial" w:cs="Arial"/>
          <w:b/>
          <w:i/>
          <w:sz w:val="32"/>
          <w:szCs w:val="32"/>
          <w:lang w:val="en-GB" w:eastAsia="en-GB"/>
        </w:rPr>
        <w:t>in vitro</w:t>
      </w:r>
      <w:r>
        <w:rPr>
          <w:rFonts w:ascii="Arial" w:eastAsia="Times New Roman" w:hAnsi="Arial" w:cs="Arial"/>
          <w:b/>
          <w:sz w:val="32"/>
          <w:szCs w:val="32"/>
          <w:lang w:val="en-GB" w:eastAsia="en-GB"/>
        </w:rPr>
        <w:t xml:space="preserve"> </w:t>
      </w:r>
      <w:r w:rsidRPr="00E661F1">
        <w:rPr>
          <w:rFonts w:ascii="Arial" w:eastAsia="Times New Roman" w:hAnsi="Arial" w:cs="Arial"/>
          <w:b/>
          <w:sz w:val="32"/>
          <w:szCs w:val="32"/>
          <w:lang w:val="en-GB" w:eastAsia="en-GB"/>
        </w:rPr>
        <w:t>monitoring of hydrocolloids in encapsulati</w:t>
      </w:r>
      <w:r w:rsidR="005C6D84">
        <w:rPr>
          <w:rFonts w:ascii="Arial" w:eastAsia="Times New Roman" w:hAnsi="Arial" w:cs="Arial"/>
          <w:b/>
          <w:sz w:val="32"/>
          <w:szCs w:val="32"/>
          <w:lang w:val="en-GB" w:eastAsia="en-GB"/>
        </w:rPr>
        <w:t>on</w:t>
      </w:r>
      <w:r w:rsidRPr="00E661F1">
        <w:rPr>
          <w:rFonts w:ascii="Arial" w:eastAsia="Times New Roman" w:hAnsi="Arial" w:cs="Arial"/>
          <w:b/>
          <w:sz w:val="32"/>
          <w:szCs w:val="32"/>
          <w:lang w:val="en-GB" w:eastAsia="en-GB"/>
        </w:rPr>
        <w:t xml:space="preserve"> systems</w:t>
      </w:r>
    </w:p>
    <w:p w:rsidR="00E661F1" w:rsidRPr="00E661F1" w:rsidRDefault="00E661F1" w:rsidP="00E661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GB" w:eastAsia="en-GB"/>
        </w:rPr>
      </w:pPr>
    </w:p>
    <w:p w:rsidR="00E661F1" w:rsidRDefault="00E661F1" w:rsidP="00E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E661F1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Brodkorb</w:t>
      </w:r>
    </w:p>
    <w:p w:rsidR="00E661F1" w:rsidRPr="00E661F1" w:rsidRDefault="00E661F1" w:rsidP="00E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:rsidR="00E661F1" w:rsidRPr="00E661F1" w:rsidRDefault="000033BD" w:rsidP="00E66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</w:pPr>
      <w:r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Teagasc Food Research Centre </w:t>
      </w:r>
      <w:proofErr w:type="spellStart"/>
      <w:r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Moorepark</w:t>
      </w:r>
      <w:proofErr w:type="spellEnd"/>
      <w:r w:rsidR="00222D87"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r w:rsidR="00AA766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Fermoy,</w:t>
      </w:r>
      <w:r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Co. Cork</w:t>
      </w:r>
      <w:r w:rsidR="00AA766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r w:rsidR="00AA7663"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P61 C996</w:t>
      </w:r>
      <w:r w:rsidRPr="00B841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 Ireland</w:t>
      </w:r>
    </w:p>
    <w:p w:rsidR="00E661F1" w:rsidRPr="00E661F1" w:rsidRDefault="00E661F1" w:rsidP="00E661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</w:pPr>
    </w:p>
    <w:p w:rsidR="00222D87" w:rsidRDefault="000033BD" w:rsidP="000033BD">
      <w:pPr>
        <w:autoSpaceDE w:val="0"/>
        <w:autoSpaceDN w:val="0"/>
        <w:spacing w:after="0" w:line="240" w:lineRule="auto"/>
        <w:rPr>
          <w:rFonts w:ascii="Arial" w:eastAsia="SimSun" w:hAnsi="Arial" w:cs="Arial"/>
          <w:lang w:val="en-CA" w:eastAsia="zh-CN"/>
        </w:rPr>
      </w:pPr>
      <w:r w:rsidRPr="000033BD">
        <w:rPr>
          <w:rFonts w:ascii="Arial" w:eastAsia="SimSun" w:hAnsi="Arial" w:cs="Arial"/>
          <w:lang w:val="en-CA" w:eastAsia="zh-CN"/>
        </w:rPr>
        <w:t xml:space="preserve">A distinctive feature of many bioactive components in food, </w:t>
      </w:r>
      <w:r w:rsidR="00F7707C">
        <w:rPr>
          <w:rFonts w:ascii="Arial" w:eastAsia="SimSun" w:hAnsi="Arial" w:cs="Arial"/>
          <w:lang w:val="en-CA" w:eastAsia="zh-CN"/>
        </w:rPr>
        <w:t xml:space="preserve">whether </w:t>
      </w:r>
      <w:r w:rsidRPr="000033BD">
        <w:rPr>
          <w:rFonts w:ascii="Arial" w:eastAsia="SimSun" w:hAnsi="Arial" w:cs="Arial"/>
          <w:lang w:val="en-CA" w:eastAsia="zh-CN"/>
        </w:rPr>
        <w:t xml:space="preserve">added or already </w:t>
      </w:r>
      <w:r w:rsidR="00F7707C">
        <w:rPr>
          <w:rFonts w:ascii="Arial" w:eastAsia="SimSun" w:hAnsi="Arial" w:cs="Arial"/>
          <w:lang w:val="en-CA" w:eastAsia="zh-CN"/>
        </w:rPr>
        <w:t>present</w:t>
      </w:r>
      <w:r w:rsidR="00F7707C" w:rsidRPr="000033BD">
        <w:rPr>
          <w:rFonts w:ascii="Arial" w:eastAsia="SimSun" w:hAnsi="Arial" w:cs="Arial"/>
          <w:lang w:val="en-CA" w:eastAsia="zh-CN"/>
        </w:rPr>
        <w:t xml:space="preserve"> </w:t>
      </w:r>
      <w:r w:rsidRPr="000033BD">
        <w:rPr>
          <w:rFonts w:ascii="Arial" w:eastAsia="SimSun" w:hAnsi="Arial" w:cs="Arial"/>
          <w:lang w:val="en-CA" w:eastAsia="zh-CN"/>
        </w:rPr>
        <w:t xml:space="preserve">in its natural form, is their vulnerability to harsh environments during food production, storage or gastro-intestinal (GI) digestion. The detrimental consequences of this inherent instability are their degradation and inactivation prior to reaching their target site. For this reason, </w:t>
      </w:r>
      <w:r w:rsidR="00F7707C">
        <w:rPr>
          <w:rFonts w:ascii="Arial" w:eastAsia="SimSun" w:hAnsi="Arial" w:cs="Arial"/>
          <w:lang w:val="en-CA" w:eastAsia="zh-CN"/>
        </w:rPr>
        <w:t xml:space="preserve">the </w:t>
      </w:r>
      <w:r w:rsidRPr="000033BD">
        <w:rPr>
          <w:rFonts w:ascii="Arial" w:eastAsia="SimSun" w:hAnsi="Arial" w:cs="Arial"/>
          <w:lang w:val="en-CA" w:eastAsia="zh-CN"/>
        </w:rPr>
        <w:t>development of food or food ingredients with bioactive functionalities is an on-going challenge within food res</w:t>
      </w:r>
      <w:bookmarkStart w:id="0" w:name="_GoBack"/>
      <w:bookmarkEnd w:id="0"/>
      <w:r w:rsidRPr="000033BD">
        <w:rPr>
          <w:rFonts w:ascii="Arial" w:eastAsia="SimSun" w:hAnsi="Arial" w:cs="Arial"/>
          <w:lang w:val="en-CA" w:eastAsia="zh-CN"/>
        </w:rPr>
        <w:t xml:space="preserve">earch and development. Encapsulation is one method </w:t>
      </w:r>
      <w:r w:rsidR="00F7707C">
        <w:rPr>
          <w:rFonts w:ascii="Arial" w:eastAsia="SimSun" w:hAnsi="Arial" w:cs="Arial"/>
          <w:lang w:val="en-CA" w:eastAsia="zh-CN"/>
        </w:rPr>
        <w:t>of</w:t>
      </w:r>
      <w:r w:rsidR="00F7707C" w:rsidRPr="000033BD">
        <w:rPr>
          <w:rFonts w:ascii="Arial" w:eastAsia="SimSun" w:hAnsi="Arial" w:cs="Arial"/>
          <w:lang w:val="en-CA" w:eastAsia="zh-CN"/>
        </w:rPr>
        <w:t xml:space="preserve"> </w:t>
      </w:r>
      <w:r w:rsidRPr="000033BD">
        <w:rPr>
          <w:rFonts w:ascii="Arial" w:eastAsia="SimSun" w:hAnsi="Arial" w:cs="Arial"/>
          <w:lang w:val="en-CA" w:eastAsia="zh-CN"/>
        </w:rPr>
        <w:t>improv</w:t>
      </w:r>
      <w:r w:rsidR="00F7707C">
        <w:rPr>
          <w:rFonts w:ascii="Arial" w:eastAsia="SimSun" w:hAnsi="Arial" w:cs="Arial"/>
          <w:lang w:val="en-CA" w:eastAsia="zh-CN"/>
        </w:rPr>
        <w:t>ing</w:t>
      </w:r>
      <w:r w:rsidRPr="000033BD">
        <w:rPr>
          <w:rFonts w:ascii="Arial" w:eastAsia="SimSun" w:hAnsi="Arial" w:cs="Arial"/>
          <w:lang w:val="en-CA" w:eastAsia="zh-CN"/>
        </w:rPr>
        <w:t xml:space="preserve"> the stability and GI delivery of </w:t>
      </w:r>
      <w:proofErr w:type="spellStart"/>
      <w:r w:rsidRPr="000033BD">
        <w:rPr>
          <w:rFonts w:ascii="Arial" w:eastAsia="SimSun" w:hAnsi="Arial" w:cs="Arial"/>
          <w:lang w:val="en-CA" w:eastAsia="zh-CN"/>
        </w:rPr>
        <w:t>bioactives</w:t>
      </w:r>
      <w:proofErr w:type="spellEnd"/>
      <w:r w:rsidRPr="000033BD">
        <w:rPr>
          <w:rFonts w:ascii="Arial" w:eastAsia="SimSun" w:hAnsi="Arial" w:cs="Arial"/>
          <w:lang w:val="en-CA" w:eastAsia="zh-CN"/>
        </w:rPr>
        <w:t xml:space="preserve"> in food.</w:t>
      </w:r>
      <w:r>
        <w:rPr>
          <w:rFonts w:ascii="Arial" w:eastAsia="SimSun" w:hAnsi="Arial" w:cs="Arial"/>
          <w:lang w:val="en-CA" w:eastAsia="zh-CN"/>
        </w:rPr>
        <w:t xml:space="preserve"> </w:t>
      </w:r>
    </w:p>
    <w:p w:rsidR="00222D87" w:rsidRPr="00222D87" w:rsidRDefault="000033BD" w:rsidP="00222D87">
      <w:pPr>
        <w:autoSpaceDE w:val="0"/>
        <w:autoSpaceDN w:val="0"/>
        <w:spacing w:after="0" w:line="240" w:lineRule="auto"/>
        <w:rPr>
          <w:rFonts w:ascii="Arial" w:eastAsia="SimSun" w:hAnsi="Arial" w:cs="Arial"/>
          <w:lang w:val="en-CA" w:eastAsia="zh-CN"/>
        </w:rPr>
      </w:pPr>
      <w:r w:rsidRPr="000033BD">
        <w:rPr>
          <w:rFonts w:ascii="Arial" w:eastAsia="SimSun" w:hAnsi="Arial" w:cs="Arial"/>
          <w:lang w:val="en-CA" w:eastAsia="zh-CN"/>
        </w:rPr>
        <w:t xml:space="preserve">This paper describes approaches used in our group to overcome the limited stability and poor delivery of </w:t>
      </w:r>
      <w:proofErr w:type="spellStart"/>
      <w:r w:rsidRPr="000033BD">
        <w:rPr>
          <w:rFonts w:ascii="Arial" w:eastAsia="SimSun" w:hAnsi="Arial" w:cs="Arial"/>
          <w:lang w:val="en-CA" w:eastAsia="zh-CN"/>
        </w:rPr>
        <w:t>bioactives</w:t>
      </w:r>
      <w:proofErr w:type="spellEnd"/>
      <w:r w:rsidRPr="000033BD">
        <w:rPr>
          <w:rFonts w:ascii="Arial" w:eastAsia="SimSun" w:hAnsi="Arial" w:cs="Arial"/>
          <w:lang w:val="en-CA" w:eastAsia="zh-CN"/>
        </w:rPr>
        <w:t xml:space="preserve"> such as fatty acids, peptides or bacteria in food.</w:t>
      </w:r>
      <w:r w:rsidR="00222D87">
        <w:rPr>
          <w:rFonts w:ascii="Arial" w:eastAsia="SimSun" w:hAnsi="Arial" w:cs="Arial"/>
          <w:lang w:val="en-CA" w:eastAsia="zh-CN"/>
        </w:rPr>
        <w:t xml:space="preserve"> </w:t>
      </w:r>
      <w:r w:rsidR="00222D87" w:rsidRPr="00222D87">
        <w:rPr>
          <w:rFonts w:ascii="Arial" w:eastAsia="SimSun" w:hAnsi="Arial" w:cs="Arial"/>
          <w:lang w:val="en-CA" w:eastAsia="zh-CN"/>
        </w:rPr>
        <w:t>Probiotic bacteria LGG</w:t>
      </w:r>
      <w:r w:rsidR="00222D87" w:rsidRPr="00222D87">
        <w:rPr>
          <w:rFonts w:ascii="Arial" w:eastAsia="SimSun" w:hAnsi="Arial" w:cs="Arial"/>
          <w:vertAlign w:val="superscript"/>
          <w:lang w:val="en-CA" w:eastAsia="zh-CN"/>
        </w:rPr>
        <w:t>®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(</w:t>
      </w:r>
      <w:r w:rsidR="00222D87" w:rsidRPr="00222D87">
        <w:rPr>
          <w:rFonts w:ascii="Arial" w:eastAsia="SimSun" w:hAnsi="Arial" w:cs="Arial"/>
          <w:i/>
          <w:lang w:val="en-CA" w:eastAsia="zh-CN"/>
        </w:rPr>
        <w:t xml:space="preserve">Lactobacillus </w:t>
      </w:r>
      <w:proofErr w:type="spellStart"/>
      <w:r w:rsidR="00222D87" w:rsidRPr="00222D87">
        <w:rPr>
          <w:rFonts w:ascii="Arial" w:eastAsia="SimSun" w:hAnsi="Arial" w:cs="Arial"/>
          <w:i/>
          <w:lang w:val="en-CA" w:eastAsia="zh-CN"/>
        </w:rPr>
        <w:t>rhamnosus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 GG ATCC 53103, </w:t>
      </w:r>
      <w:proofErr w:type="spellStart"/>
      <w:r w:rsidR="00222D87" w:rsidRPr="00222D87">
        <w:rPr>
          <w:rFonts w:ascii="Arial" w:eastAsia="SimSun" w:hAnsi="Arial" w:cs="Arial"/>
          <w:lang w:val="en-CA" w:eastAsia="zh-CN"/>
        </w:rPr>
        <w:t>Valio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 Ltd., Helsinki, Finland) was encapsulated by entrapment in acid-induced gel beads of heat-denatured whey protein according to Doherty et al.</w:t>
      </w:r>
      <w:r w:rsidR="00222D87" w:rsidRPr="00222D87">
        <w:rPr>
          <w:rFonts w:ascii="Arial" w:eastAsia="SimSun" w:hAnsi="Arial" w:cs="Arial"/>
          <w:lang w:val="en-CA" w:eastAsia="zh-CN"/>
        </w:rPr>
        <w:fldChar w:fldCharType="begin"/>
      </w:r>
      <w:r w:rsidR="00902DAC">
        <w:rPr>
          <w:rFonts w:ascii="Arial" w:eastAsia="SimSun" w:hAnsi="Arial" w:cs="Arial"/>
          <w:lang w:val="en-CA" w:eastAsia="zh-CN"/>
        </w:rPr>
        <w:instrText xml:space="preserve"> ADDIN EN.CITE &lt;EndNote&gt;&lt;Cite ExcludeAuth="1"&gt;&lt;Author&gt;Doherty&lt;/Author&gt;&lt;Year&gt;2011&lt;/Year&gt;&lt;RecNum&gt;1577&lt;/RecNum&gt;&lt;DisplayText&gt;&lt;style face="superscript"&gt;1&lt;/style&gt;&lt;/DisplayText&gt;&lt;record&gt;&lt;rec-number&gt;1577&lt;/rec-number&gt;&lt;foreign-keys&gt;&lt;key app="EN" db-id="xeszfde96adx5dewzt55psp6prwv9950wrxr" timestamp="1303810712"&gt;1577&lt;/key&gt;&lt;/foreign-keys&gt;&lt;ref-type name="Journal Article"&gt;17&lt;/ref-type&gt;&lt;contributors&gt;&lt;authors&gt;&lt;author&gt;Doherty, S. B.&lt;/author&gt;&lt;author&gt;Gee, V. L.&lt;/author&gt;&lt;author&gt;Ross, R. P.&lt;/author&gt;&lt;author&gt;Stanton, C.&lt;/author&gt;&lt;author&gt;Fitzgerald, G. F.&lt;/author&gt;&lt;author&gt;Brodkorb, A.&lt;/author&gt;&lt;/authors&gt;&lt;/contributors&gt;&lt;titles&gt;&lt;title&gt;Development and characterisation of whey protein micro-beads as potential matrices for probiotic protection&lt;/title&gt;&lt;secondary-title&gt;Food Hydrocolloids&lt;/secondary-title&gt;&lt;/titles&gt;&lt;periodical&gt;&lt;full-title&gt;Food Hydrocolloids&lt;/full-title&gt;&lt;/periodical&gt;&lt;pages&gt;1604-1617&lt;/pages&gt;&lt;volume&gt;25&lt;/volume&gt;&lt;number&gt;6&lt;/number&gt;&lt;keywords&gt;&lt;keyword&gt;Encapsulation&lt;/keyword&gt;&lt;keyword&gt;Extrusion&lt;/keyword&gt;&lt;keyword&gt;Whey proteins&lt;/keyword&gt;&lt;keyword&gt;Micro-beads&lt;/keyword&gt;&lt;keyword&gt;Targeted delivery&lt;/keyword&gt;&lt;/keywords&gt;&lt;dates&gt;&lt;year&gt;2011&lt;/year&gt;&lt;/dates&gt;&lt;isbn&gt;0268-005X&lt;/isbn&gt;&lt;urls&gt;&lt;related-urls&gt;&lt;url&gt;http://www.sciencedirect.com/science/article/B6VP9-51W6DTK-2/2/51ea5be9c45896e0d0cf6d95c9f6db44&lt;/url&gt;&lt;/related-urls&gt;&lt;/urls&gt;&lt;electronic-resource-num&gt;10.1016/j.foodhyd.2010.12.012&lt;/electronic-resource-num&gt;&lt;/record&gt;&lt;/Cite&gt;&lt;/EndNote&gt;</w:instrText>
      </w:r>
      <w:r w:rsidR="00222D87" w:rsidRPr="00222D87">
        <w:rPr>
          <w:rFonts w:ascii="Arial" w:eastAsia="SimSun" w:hAnsi="Arial" w:cs="Arial"/>
          <w:lang w:val="en-CA" w:eastAsia="zh-CN"/>
        </w:rPr>
        <w:fldChar w:fldCharType="separate"/>
      </w:r>
      <w:r w:rsidR="00902DAC" w:rsidRPr="00902DAC">
        <w:rPr>
          <w:rFonts w:ascii="Arial" w:eastAsia="SimSun" w:hAnsi="Arial" w:cs="Arial"/>
          <w:noProof/>
          <w:vertAlign w:val="superscript"/>
          <w:lang w:val="en-CA" w:eastAsia="zh-CN"/>
        </w:rPr>
        <w:t>1</w:t>
      </w:r>
      <w:r w:rsidR="00222D87" w:rsidRPr="00222D87">
        <w:rPr>
          <w:rFonts w:ascii="Arial" w:eastAsia="SimSun" w:hAnsi="Arial" w:cs="Arial"/>
          <w:lang w:val="en-CA" w:eastAsia="zh-CN"/>
        </w:rPr>
        <w:fldChar w:fldCharType="end"/>
      </w:r>
      <w:r w:rsidR="00222D87" w:rsidRPr="00222D87">
        <w:rPr>
          <w:rFonts w:ascii="Arial" w:eastAsia="SimSun" w:hAnsi="Arial" w:cs="Arial"/>
          <w:lang w:val="en-CA" w:eastAsia="zh-CN"/>
        </w:rPr>
        <w:t xml:space="preserve">. </w:t>
      </w:r>
      <w:r w:rsidR="006E2B24">
        <w:rPr>
          <w:rFonts w:ascii="Arial" w:eastAsia="SimSun" w:hAnsi="Arial" w:cs="Arial"/>
          <w:lang w:val="en-CA" w:eastAsia="zh-CN"/>
        </w:rPr>
        <w:t>Micro-b</w:t>
      </w:r>
      <w:r w:rsidR="00222D87" w:rsidRPr="00222D87">
        <w:rPr>
          <w:rFonts w:ascii="Arial" w:eastAsia="SimSun" w:hAnsi="Arial" w:cs="Arial"/>
          <w:lang w:val="en-CA" w:eastAsia="zh-CN"/>
        </w:rPr>
        <w:t xml:space="preserve">eads were formed using a vibrating nozzle droplet </w:t>
      </w:r>
      <w:proofErr w:type="spellStart"/>
      <w:r w:rsidR="00222D87" w:rsidRPr="00222D87">
        <w:rPr>
          <w:rFonts w:ascii="Arial" w:eastAsia="SimSun" w:hAnsi="Arial" w:cs="Arial"/>
          <w:lang w:val="en-CA" w:eastAsia="zh-CN"/>
        </w:rPr>
        <w:t>encapsulator</w:t>
      </w:r>
      <w:proofErr w:type="spellEnd"/>
      <w:r w:rsidR="00222D87">
        <w:rPr>
          <w:rFonts w:ascii="Arial" w:eastAsia="SimSun" w:hAnsi="Arial" w:cs="Arial"/>
          <w:lang w:val="en-CA" w:eastAsia="zh-CN"/>
        </w:rPr>
        <w:t>.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Probiotic release and survival under gastro-intestinal conditions </w:t>
      </w:r>
      <w:r w:rsidR="00F7707C">
        <w:rPr>
          <w:rFonts w:ascii="Arial" w:eastAsia="SimSun" w:hAnsi="Arial" w:cs="Arial"/>
          <w:lang w:val="en-CA" w:eastAsia="zh-CN"/>
        </w:rPr>
        <w:t>were</w:t>
      </w:r>
      <w:r w:rsidR="00F7707C" w:rsidRPr="00222D87">
        <w:rPr>
          <w:rFonts w:ascii="Arial" w:eastAsia="SimSun" w:hAnsi="Arial" w:cs="Arial"/>
          <w:lang w:val="en-CA" w:eastAsia="zh-CN"/>
        </w:rPr>
        <w:t xml:space="preserve"> </w:t>
      </w:r>
      <w:r w:rsidR="00222D87" w:rsidRPr="00222D87">
        <w:rPr>
          <w:rFonts w:ascii="Arial" w:eastAsia="SimSun" w:hAnsi="Arial" w:cs="Arial"/>
          <w:lang w:val="en-CA" w:eastAsia="zh-CN"/>
        </w:rPr>
        <w:t xml:space="preserve">monitored </w:t>
      </w:r>
      <w:r w:rsidR="00222D87" w:rsidRPr="00222D87">
        <w:rPr>
          <w:rFonts w:ascii="Arial" w:eastAsia="SimSun" w:hAnsi="Arial" w:cs="Arial"/>
          <w:i/>
          <w:lang w:val="en-CA" w:eastAsia="zh-CN"/>
        </w:rPr>
        <w:t>in vitro</w:t>
      </w:r>
      <w:r w:rsidR="00531A7E">
        <w:rPr>
          <w:rFonts w:ascii="Arial" w:eastAsia="SimSun" w:hAnsi="Arial" w:cs="Arial"/>
          <w:i/>
          <w:lang w:val="en-CA" w:eastAsia="zh-CN"/>
        </w:rPr>
        <w:t xml:space="preserve"> </w:t>
      </w:r>
      <w:r w:rsidR="00222D87" w:rsidRPr="00222D87">
        <w:rPr>
          <w:rFonts w:ascii="Arial" w:eastAsia="SimSun" w:hAnsi="Arial" w:cs="Arial"/>
          <w:lang w:val="en-CA" w:eastAsia="zh-CN"/>
        </w:rPr>
        <w:t xml:space="preserve">(static GI digestion method), </w:t>
      </w:r>
      <w:r w:rsidR="00222D87" w:rsidRPr="00222D87">
        <w:rPr>
          <w:rFonts w:ascii="Arial" w:eastAsia="SimSun" w:hAnsi="Arial" w:cs="Arial"/>
          <w:i/>
          <w:lang w:val="en-CA" w:eastAsia="zh-CN"/>
        </w:rPr>
        <w:t>ex vivo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(static GI digestion using porcine gastric and intestinal juice) and </w:t>
      </w:r>
      <w:r w:rsidR="00222D87" w:rsidRPr="00222D87">
        <w:rPr>
          <w:rFonts w:ascii="Arial" w:eastAsia="SimSun" w:hAnsi="Arial" w:cs="Arial"/>
          <w:i/>
          <w:lang w:val="en-CA" w:eastAsia="zh-CN"/>
        </w:rPr>
        <w:t>in vivo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(porcine model; enumeration in gastric, duodenal, </w:t>
      </w:r>
      <w:proofErr w:type="spellStart"/>
      <w:r w:rsidR="00222D87" w:rsidRPr="00222D87">
        <w:rPr>
          <w:rFonts w:ascii="Arial" w:eastAsia="SimSun" w:hAnsi="Arial" w:cs="Arial"/>
          <w:lang w:val="en-CA" w:eastAsia="zh-CN"/>
        </w:rPr>
        <w:t>jejunal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 and </w:t>
      </w:r>
      <w:proofErr w:type="spellStart"/>
      <w:r w:rsidR="00222D87" w:rsidRPr="00222D87">
        <w:rPr>
          <w:rFonts w:ascii="Arial" w:eastAsia="SimSun" w:hAnsi="Arial" w:cs="Arial"/>
          <w:lang w:val="en-CA" w:eastAsia="zh-CN"/>
        </w:rPr>
        <w:t>ileal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 content after the sacrificing).</w:t>
      </w:r>
      <w:r w:rsidR="00222D87">
        <w:rPr>
          <w:rFonts w:ascii="Arial" w:eastAsia="SimSun" w:hAnsi="Arial" w:cs="Arial"/>
          <w:lang w:val="en-CA" w:eastAsia="zh-CN"/>
        </w:rPr>
        <w:t xml:space="preserve"> Whey proteins were also used to stabilise and improve </w:t>
      </w:r>
      <w:r w:rsidR="00F7707C">
        <w:rPr>
          <w:rFonts w:ascii="Arial" w:eastAsia="SimSun" w:hAnsi="Arial" w:cs="Arial"/>
          <w:lang w:val="en-CA" w:eastAsia="zh-CN"/>
        </w:rPr>
        <w:t xml:space="preserve">the </w:t>
      </w:r>
      <w:r w:rsidR="00222D87">
        <w:rPr>
          <w:rFonts w:ascii="Arial" w:eastAsia="SimSun" w:hAnsi="Arial" w:cs="Arial"/>
          <w:lang w:val="en-CA" w:eastAsia="zh-CN"/>
        </w:rPr>
        <w:t>delivery of fatty acids</w:t>
      </w:r>
      <w:r w:rsidR="006E2B24">
        <w:rPr>
          <w:rFonts w:ascii="Arial" w:eastAsia="SimSun" w:hAnsi="Arial" w:cs="Arial"/>
          <w:lang w:val="en-CA" w:eastAsia="zh-CN"/>
        </w:rPr>
        <w:t xml:space="preserve">, which were </w:t>
      </w:r>
      <w:r w:rsidR="005C6D84">
        <w:rPr>
          <w:rFonts w:ascii="Arial" w:eastAsia="SimSun" w:hAnsi="Arial" w:cs="Arial"/>
          <w:lang w:val="en-CA" w:eastAsia="zh-CN"/>
        </w:rPr>
        <w:t xml:space="preserve">associated to </w:t>
      </w:r>
      <w:r w:rsidR="00222D87" w:rsidRPr="00222D87">
        <w:rPr>
          <w:rFonts w:ascii="Arial" w:eastAsia="SimSun" w:hAnsi="Arial" w:cs="Arial"/>
          <w:lang w:val="en-CA" w:eastAsia="zh-CN"/>
        </w:rPr>
        <w:t xml:space="preserve">native </w:t>
      </w:r>
      <w:r w:rsidR="006E2B24">
        <w:rPr>
          <w:rFonts w:ascii="Arial" w:eastAsia="SimSun" w:hAnsi="Arial" w:cs="Arial"/>
          <w:lang w:val="en-CA" w:eastAsia="zh-CN"/>
        </w:rPr>
        <w:t>or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heat-</w:t>
      </w:r>
      <w:r w:rsidR="006E2B24">
        <w:rPr>
          <w:rFonts w:ascii="Arial" w:eastAsia="SimSun" w:hAnsi="Arial" w:cs="Arial"/>
          <w:lang w:val="en-CA" w:eastAsia="zh-CN"/>
        </w:rPr>
        <w:t>treated aggregated proteins</w:t>
      </w:r>
      <w:r w:rsidR="00222D87">
        <w:rPr>
          <w:rFonts w:ascii="Arial" w:eastAsia="SimSun" w:hAnsi="Arial" w:cs="Arial"/>
          <w:lang w:val="en-CA" w:eastAsia="zh-CN"/>
        </w:rPr>
        <w:t xml:space="preserve"> at lab- or pilot-scale. </w:t>
      </w:r>
      <w:r w:rsidR="00F7707C">
        <w:rPr>
          <w:rFonts w:ascii="Arial" w:eastAsia="SimSun" w:hAnsi="Arial" w:cs="Arial"/>
          <w:lang w:val="en-CA" w:eastAsia="zh-CN"/>
        </w:rPr>
        <w:t>The b</w:t>
      </w:r>
      <w:r w:rsidR="00222D87" w:rsidRPr="00222D87">
        <w:rPr>
          <w:rFonts w:ascii="Arial" w:eastAsia="SimSun" w:hAnsi="Arial" w:cs="Arial"/>
          <w:lang w:val="en-CA" w:eastAsia="zh-CN"/>
        </w:rPr>
        <w:t>io-accessibility and bio-availability</w:t>
      </w:r>
      <w:r w:rsidR="00222D87">
        <w:rPr>
          <w:rFonts w:ascii="Arial" w:eastAsia="SimSun" w:hAnsi="Arial" w:cs="Arial"/>
          <w:lang w:val="en-CA" w:eastAsia="zh-CN"/>
        </w:rPr>
        <w:t xml:space="preserve"> of </w:t>
      </w:r>
      <w:proofErr w:type="spellStart"/>
      <w:r w:rsidR="00222D87">
        <w:rPr>
          <w:rFonts w:ascii="Arial" w:eastAsia="SimSun" w:hAnsi="Arial" w:cs="Arial"/>
          <w:lang w:val="en-CA" w:eastAsia="zh-CN"/>
        </w:rPr>
        <w:t>bioactives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 were assessed using </w:t>
      </w:r>
      <w:r w:rsidR="00222D87">
        <w:rPr>
          <w:rFonts w:ascii="Arial" w:eastAsia="SimSun" w:hAnsi="Arial" w:cs="Arial"/>
          <w:lang w:val="en-CA" w:eastAsia="zh-CN"/>
        </w:rPr>
        <w:t xml:space="preserve">the </w:t>
      </w:r>
      <w:r w:rsidR="00222D87" w:rsidRPr="00222D87">
        <w:rPr>
          <w:rFonts w:ascii="Arial" w:eastAsia="SimSun" w:hAnsi="Arial" w:cs="Arial"/>
          <w:lang w:val="en-CA" w:eastAsia="zh-CN"/>
        </w:rPr>
        <w:t xml:space="preserve">INFOGEST </w:t>
      </w:r>
      <w:r w:rsidR="00222D87" w:rsidRPr="00222D87">
        <w:rPr>
          <w:rFonts w:ascii="Arial" w:eastAsia="SimSun" w:hAnsi="Arial" w:cs="Arial"/>
          <w:i/>
          <w:lang w:val="en-CA" w:eastAsia="zh-CN"/>
        </w:rPr>
        <w:t>in vitro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digestion method</w:t>
      </w:r>
      <w:r w:rsidR="006E2B24">
        <w:rPr>
          <w:rFonts w:ascii="Arial" w:eastAsia="SimSun" w:hAnsi="Arial" w:cs="Arial"/>
          <w:lang w:val="en-CA" w:eastAsia="zh-CN"/>
        </w:rPr>
        <w:t xml:space="preserve"> </w:t>
      </w:r>
      <w:r w:rsidR="006E2B24">
        <w:rPr>
          <w:rFonts w:ascii="Arial" w:eastAsia="SimSun" w:hAnsi="Arial" w:cs="Arial"/>
          <w:lang w:val="en-CA" w:eastAsia="zh-CN"/>
        </w:rPr>
        <w:fldChar w:fldCharType="begin"/>
      </w:r>
      <w:r w:rsidR="00902DAC">
        <w:rPr>
          <w:rFonts w:ascii="Arial" w:eastAsia="SimSun" w:hAnsi="Arial" w:cs="Arial"/>
          <w:lang w:val="en-CA" w:eastAsia="zh-CN"/>
        </w:rPr>
        <w:instrText xml:space="preserve"> ADDIN EN.CITE &lt;EndNote&gt;&lt;Cite&gt;&lt;Author&gt;Minekus&lt;/Author&gt;&lt;Year&gt;2014&lt;/Year&gt;&lt;RecNum&gt;2111&lt;/RecNum&gt;&lt;DisplayText&gt;&lt;style face="superscript"&gt;2&lt;/style&gt;&lt;/DisplayText&gt;&lt;record&gt;&lt;rec-number&gt;2111&lt;/rec-number&gt;&lt;foreign-keys&gt;&lt;key app="EN" db-id="xeszfde96adx5dewzt55psp6prwv9950wrxr" timestamp="1401320554"&gt;2111&lt;/key&gt;&lt;/foreign-keys&gt;&lt;ref-type name="Journal Article"&gt;17&lt;/ref-type&gt;&lt;contributors&gt;&lt;authors&gt;&lt;author&gt;Minekus, M.&lt;/author&gt;&lt;author&gt;Alminger, M.&lt;/author&gt;&lt;author&gt;Alvito, P.&lt;/author&gt;&lt;author&gt;Ballance, S.&lt;/author&gt;&lt;author&gt;Bohn, T.&lt;/author&gt;&lt;author&gt;Bourlieu, C.&lt;/author&gt;&lt;author&gt;Carriere, F.&lt;/author&gt;&lt;author&gt;Boutrou, R.&lt;/author&gt;&lt;author&gt;Corredig, M.&lt;/author&gt;&lt;author&gt;Dupont, D.&lt;/author&gt;&lt;author&gt;Dufour, C.&lt;/author&gt;&lt;author&gt;Egger, L.&lt;/author&gt;&lt;author&gt;Golding, M.&lt;/author&gt;&lt;author&gt;Karakaya, S.&lt;/author&gt;&lt;author&gt;Kirkhus, B.&lt;/author&gt;&lt;author&gt;Le Feunteun, S.&lt;/author&gt;&lt;author&gt;Lesmes, U.&lt;/author&gt;&lt;author&gt;Macierzanka, A.&lt;/author&gt;&lt;author&gt;Mackie, A.&lt;/author&gt;&lt;author&gt;Marze, S.&lt;/author&gt;&lt;author&gt;McClements, D. J.&lt;/author&gt;&lt;author&gt;Menard, O.&lt;/author&gt;&lt;author&gt;Recio, I.&lt;/author&gt;&lt;author&gt;Santos, C. N.&lt;/author&gt;&lt;author&gt;Singh, R. P.&lt;/author&gt;&lt;author&gt;Vegarud, G. E.&lt;/author&gt;&lt;author&gt;Wickham, M. S. J.&lt;/author&gt;&lt;author&gt;Weitschies, W.&lt;/author&gt;&lt;author&gt;Brodkorb, A.&lt;/author&gt;&lt;/authors&gt;&lt;/contributors&gt;&lt;titles&gt;&lt;title&gt;A standardised static in vitro digestion method suitable for food - an international consensus&lt;/title&gt;&lt;secondary-title&gt;Food &amp;amp; Function&lt;/secondary-title&gt;&lt;/titles&gt;&lt;periodical&gt;&lt;full-title&gt;Food &amp;amp; Function&lt;/full-title&gt;&lt;/periodical&gt;&lt;pages&gt;1113-1124&lt;/pages&gt;&lt;volume&gt;5&lt;/volume&gt;&lt;number&gt;6&lt;/number&gt;&lt;dates&gt;&lt;year&gt;2014&lt;/year&gt;&lt;/dates&gt;&lt;publisher&gt;The Royal Society of Chemistry&lt;/publisher&gt;&lt;isbn&gt;2042-6496&lt;/isbn&gt;&lt;work-type&gt;10.1039/C3FO60702J&lt;/work-type&gt;&lt;urls&gt;&lt;related-urls&gt;&lt;url&gt;duphttp://dx.doi.org/10.1039/C3FO60702J&lt;/url&gt;&lt;/related-urls&gt;&lt;/urls&gt;&lt;electronic-resource-num&gt;10.1039/C3FO60702J&lt;/electronic-resource-num&gt;&lt;/record&gt;&lt;/Cite&gt;&lt;/EndNote&gt;</w:instrText>
      </w:r>
      <w:r w:rsidR="006E2B24">
        <w:rPr>
          <w:rFonts w:ascii="Arial" w:eastAsia="SimSun" w:hAnsi="Arial" w:cs="Arial"/>
          <w:lang w:val="en-CA" w:eastAsia="zh-CN"/>
        </w:rPr>
        <w:fldChar w:fldCharType="separate"/>
      </w:r>
      <w:r w:rsidR="00902DAC" w:rsidRPr="00902DAC">
        <w:rPr>
          <w:rFonts w:ascii="Arial" w:eastAsia="SimSun" w:hAnsi="Arial" w:cs="Arial"/>
          <w:noProof/>
          <w:vertAlign w:val="superscript"/>
          <w:lang w:val="en-CA" w:eastAsia="zh-CN"/>
        </w:rPr>
        <w:t>2</w:t>
      </w:r>
      <w:r w:rsidR="006E2B24">
        <w:rPr>
          <w:rFonts w:ascii="Arial" w:eastAsia="SimSun" w:hAnsi="Arial" w:cs="Arial"/>
          <w:lang w:val="en-CA" w:eastAsia="zh-CN"/>
        </w:rPr>
        <w:fldChar w:fldCharType="end"/>
      </w:r>
      <w:r w:rsidR="00222D87" w:rsidRPr="00222D87">
        <w:rPr>
          <w:rFonts w:ascii="Arial" w:eastAsia="SimSun" w:hAnsi="Arial" w:cs="Arial"/>
          <w:lang w:val="en-CA" w:eastAsia="zh-CN"/>
        </w:rPr>
        <w:t xml:space="preserve"> coupled with assays simulating the intracellular transport of fatty acids into enterocyte-like monolayers (Caco-2)</w:t>
      </w:r>
      <w:r w:rsidR="00222D87" w:rsidRPr="00222D87">
        <w:rPr>
          <w:rFonts w:ascii="Arial" w:eastAsia="SimSun" w:hAnsi="Arial" w:cs="Arial"/>
          <w:lang w:val="en-CA" w:eastAsia="zh-CN"/>
        </w:rPr>
        <w:fldChar w:fldCharType="begin"/>
      </w:r>
      <w:r w:rsidR="00902DAC">
        <w:rPr>
          <w:rFonts w:ascii="Arial" w:eastAsia="SimSun" w:hAnsi="Arial" w:cs="Arial"/>
          <w:lang w:val="en-CA" w:eastAsia="zh-CN"/>
        </w:rPr>
        <w:instrText xml:space="preserve"> ADDIN EN.CITE &lt;EndNote&gt;&lt;Cite&gt;&lt;Author&gt;Le Maux&lt;/Author&gt;&lt;Year&gt;2013&lt;/Year&gt;&lt;RecNum&gt;1973&lt;/RecNum&gt;&lt;DisplayText&gt;&lt;style face="superscript"&gt;3&lt;/style&gt;&lt;/DisplayText&gt;&lt;record&gt;&lt;rec-number&gt;1973&lt;/rec-number&gt;&lt;foreign-keys&gt;&lt;key app="EN" db-id="xeszfde96adx5dewzt55psp6prwv9950wrxr" timestamp="1369222830"&gt;1973&lt;/key&gt;&lt;/foreign-keys&gt;&lt;ref-type name="Journal Article"&gt;17&lt;/ref-type&gt;&lt;contributors&gt;&lt;authors&gt;&lt;author&gt;Le Maux, Solène&lt;/author&gt;&lt;author&gt;Brodkorb, André&lt;/author&gt;&lt;author&gt;Croguennec, Thomas&lt;/author&gt;&lt;author&gt;Hennessy, Alan A.&lt;/author&gt;&lt;author&gt;Bouhallab, Saïd&lt;/author&gt;&lt;author&gt;Giblin, Linda&lt;/author&gt;&lt;/authors&gt;&lt;/contributors&gt;&lt;titles&gt;&lt;title&gt;β-Lactoglobulin-linoleate complexes: In vitro digestion and the role of protein in fatty acids uptake&lt;/title&gt;&lt;secondary-title&gt;Journal of Dairy Science&lt;/secondary-title&gt;&lt;/titles&gt;&lt;periodical&gt;&lt;full-title&gt;Journal of Dairy Science&lt;/full-title&gt;&lt;abbr-1&gt;J. Dairy Sci.&lt;/abbr-1&gt;&lt;/periodical&gt;&lt;pages&gt;4258-4268&lt;/pages&gt;&lt;volume&gt;96&lt;/volume&gt;&lt;number&gt;7&lt;/number&gt;&lt;section&gt;4258&lt;/section&gt;&lt;keywords&gt;&lt;keyword&gt;β-lactoglobulin&lt;/keyword&gt;&lt;keyword&gt;linoleate&lt;/keyword&gt;&lt;keyword&gt;in vitro digestion&lt;/keyword&gt;&lt;keyword&gt;bioaccessibility&lt;/keyword&gt;&lt;/keywords&gt;&lt;dates&gt;&lt;year&gt;2013&lt;/year&gt;&lt;/dates&gt;&lt;urls&gt;&lt;related-urls&gt;&lt;url&gt;T-Stor open access: http://hdl.handle.net/11019/507&lt;/url&gt;&lt;/related-urls&gt;&lt;/urls&gt;&lt;electronic-resource-num&gt;10.3168/jds.2013-6682&lt;/electronic-resource-num&gt;&lt;/record&gt;&lt;/Cite&gt;&lt;/EndNote&gt;</w:instrText>
      </w:r>
      <w:r w:rsidR="00222D87" w:rsidRPr="00222D87">
        <w:rPr>
          <w:rFonts w:ascii="Arial" w:eastAsia="SimSun" w:hAnsi="Arial" w:cs="Arial"/>
          <w:lang w:val="en-CA" w:eastAsia="zh-CN"/>
        </w:rPr>
        <w:fldChar w:fldCharType="separate"/>
      </w:r>
      <w:r w:rsidR="00902DAC" w:rsidRPr="00902DAC">
        <w:rPr>
          <w:rFonts w:ascii="Arial" w:eastAsia="SimSun" w:hAnsi="Arial" w:cs="Arial"/>
          <w:noProof/>
          <w:vertAlign w:val="superscript"/>
          <w:lang w:val="en-CA" w:eastAsia="zh-CN"/>
        </w:rPr>
        <w:t>3</w:t>
      </w:r>
      <w:r w:rsidR="00222D87" w:rsidRPr="00222D87">
        <w:rPr>
          <w:rFonts w:ascii="Arial" w:eastAsia="SimSun" w:hAnsi="Arial" w:cs="Arial"/>
          <w:lang w:val="en-CA" w:eastAsia="zh-CN"/>
        </w:rPr>
        <w:fldChar w:fldCharType="end"/>
      </w:r>
      <w:r w:rsidR="00222D87" w:rsidRPr="00222D87">
        <w:rPr>
          <w:rFonts w:ascii="Arial" w:eastAsia="SimSun" w:hAnsi="Arial" w:cs="Arial"/>
          <w:lang w:val="en-CA" w:eastAsia="zh-CN"/>
        </w:rPr>
        <w:t xml:space="preserve">. </w:t>
      </w:r>
      <w:r w:rsidR="00222D87" w:rsidRPr="00222D87">
        <w:rPr>
          <w:rFonts w:ascii="Arial" w:eastAsia="SimSun" w:hAnsi="Arial" w:cs="Arial"/>
          <w:i/>
          <w:lang w:val="en-CA" w:eastAsia="zh-CN"/>
        </w:rPr>
        <w:t>In vivo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digestion models </w:t>
      </w:r>
      <w:r w:rsidR="006E2B24">
        <w:rPr>
          <w:rFonts w:ascii="Arial" w:eastAsia="SimSun" w:hAnsi="Arial" w:cs="Arial"/>
          <w:lang w:val="en-CA" w:eastAsia="zh-CN"/>
        </w:rPr>
        <w:t xml:space="preserve">included healthy, adult human </w:t>
      </w:r>
      <w:r w:rsidR="00222D87" w:rsidRPr="00222D87">
        <w:rPr>
          <w:rFonts w:ascii="Arial" w:eastAsia="SimSun" w:hAnsi="Arial" w:cs="Arial"/>
          <w:lang w:val="en-CA" w:eastAsia="zh-CN"/>
        </w:rPr>
        <w:t>subjects (wireless capsule endoscopy and nasogastric tube sampling)</w:t>
      </w:r>
      <w:r w:rsidR="00222D87" w:rsidRPr="00222D87">
        <w:rPr>
          <w:rFonts w:ascii="Arial" w:eastAsia="SimSun" w:hAnsi="Arial" w:cs="Arial"/>
          <w:lang w:val="en-CA" w:eastAsia="zh-CN"/>
        </w:rPr>
        <w:fldChar w:fldCharType="begin"/>
      </w:r>
      <w:r w:rsidR="00902DAC">
        <w:rPr>
          <w:rFonts w:ascii="Arial" w:eastAsia="SimSun" w:hAnsi="Arial" w:cs="Arial"/>
          <w:lang w:val="en-CA" w:eastAsia="zh-CN"/>
        </w:rPr>
        <w:instrText xml:space="preserve"> ADDIN EN.CITE &lt;EndNote&gt;&lt;Cite&gt;&lt;Author&gt;Sullivan&lt;/Author&gt;&lt;Year&gt;2014&lt;/Year&gt;&lt;RecNum&gt;2099&lt;/RecNum&gt;&lt;DisplayText&gt;&lt;style face="superscript"&gt;4&lt;/style&gt;&lt;/DisplayText&gt;&lt;record&gt;&lt;rec-number&gt;2099&lt;/rec-number&gt;&lt;foreign-keys&gt;&lt;key app="EN" db-id="xeszfde96adx5dewzt55psp6prwv9950wrxr" timestamp="1399494502"&gt;2099&lt;/key&gt;&lt;/foreign-keys&gt;&lt;ref-type name="Journal Article"&gt;17&lt;/ref-type&gt;&lt;contributors&gt;&lt;authors&gt;&lt;author&gt;Sullivan, L. M.&lt;/author&gt;&lt;author&gt;Kehoe, J. J.&lt;/author&gt;&lt;author&gt;Barry, L.&lt;/author&gt;&lt;author&gt;Buckley, M. J. M.&lt;/author&gt;&lt;author&gt;Shanahan, F.&lt;/author&gt;&lt;author&gt;Mok, K. H.&lt;/author&gt;&lt;author&gt;Brodkorb, A.&lt;/author&gt;&lt;/authors&gt;&lt;/contributors&gt;&lt;titles&gt;&lt;title&gt;&lt;style face="normal" font="default" size="100%"&gt;Gastric digestion of &lt;/style&gt;&lt;style face="normal" font="default" charset="161" size="100%"&gt;α-lactalbumin&lt;/style&gt;&lt;style face="normal" font="default" size="100%"&gt; in adult human subjects using capsule endoscopy and nasogastric tube sampling&lt;/style&gt;&lt;/title&gt;&lt;secondary-title&gt;&lt;style face="normal" font="default" charset="161" size="100%"&gt;British Journal of Nutrition&lt;/style&gt;&lt;/secondary-title&gt;&lt;/titles&gt;&lt;periodical&gt;&lt;full-title&gt;British Journal of Nutrition&lt;/full-title&gt;&lt;abbr-1&gt;Br. J. Nutr.&lt;/abbr-1&gt;&lt;abbr-2&gt;Br J Nutr&lt;/abbr-2&gt;&lt;/periodical&gt;&lt;pages&gt;638–646&lt;/pages&gt;&lt;volume&gt;112&lt;/volume&gt;&lt;dates&gt;&lt;year&gt;2014&lt;/year&gt;&lt;/dates&gt;&lt;urls&gt;&lt;related-urls&gt;&lt;url&gt;http://dx.doi.org/10.1017/S0007114514001196&lt;/url&gt;&lt;/related-urls&gt;&lt;/urls&gt;&lt;electronic-resource-num&gt;10.1017/S0007114514001196&lt;/electronic-resource-num&gt;&lt;research-notes&gt;http://journals.cambridge.org/action/displaySuppMaterial?cupCode=1&amp;amp;type=4&amp;amp;jid=BJN&amp;amp;volumeId=112&amp;amp;issueId=04&amp;amp;aid=9313380&amp;amp;sessionId=15507AEB0567914447BE5DCE0390EDB6.journals&lt;/research-notes&gt;&lt;/record&gt;&lt;/Cite&gt;&lt;/EndNote&gt;</w:instrText>
      </w:r>
      <w:r w:rsidR="00222D87" w:rsidRPr="00222D87">
        <w:rPr>
          <w:rFonts w:ascii="Arial" w:eastAsia="SimSun" w:hAnsi="Arial" w:cs="Arial"/>
          <w:lang w:val="en-CA" w:eastAsia="zh-CN"/>
        </w:rPr>
        <w:fldChar w:fldCharType="separate"/>
      </w:r>
      <w:r w:rsidR="00902DAC" w:rsidRPr="00902DAC">
        <w:rPr>
          <w:rFonts w:ascii="Arial" w:eastAsia="SimSun" w:hAnsi="Arial" w:cs="Arial"/>
          <w:noProof/>
          <w:vertAlign w:val="superscript"/>
          <w:lang w:val="en-CA" w:eastAsia="zh-CN"/>
        </w:rPr>
        <w:t>4</w:t>
      </w:r>
      <w:r w:rsidR="00222D87" w:rsidRPr="00222D87">
        <w:rPr>
          <w:rFonts w:ascii="Arial" w:eastAsia="SimSun" w:hAnsi="Arial" w:cs="Arial"/>
          <w:lang w:val="en-CA" w:eastAsia="zh-CN"/>
        </w:rPr>
        <w:fldChar w:fldCharType="end"/>
      </w:r>
      <w:r w:rsidR="00222D87" w:rsidRPr="00222D87">
        <w:rPr>
          <w:rFonts w:ascii="Arial" w:eastAsia="SimSun" w:hAnsi="Arial" w:cs="Arial"/>
          <w:lang w:val="en-CA" w:eastAsia="zh-CN"/>
        </w:rPr>
        <w:t>.</w:t>
      </w:r>
      <w:r w:rsidR="006E2B24">
        <w:rPr>
          <w:rFonts w:ascii="Arial" w:eastAsia="SimSun" w:hAnsi="Arial" w:cs="Arial"/>
          <w:lang w:val="en-CA" w:eastAsia="zh-CN"/>
        </w:rPr>
        <w:t xml:space="preserve"> </w:t>
      </w:r>
      <w:r w:rsidR="00222D87" w:rsidRPr="00222D87">
        <w:rPr>
          <w:rFonts w:ascii="Arial" w:eastAsia="SimSun" w:hAnsi="Arial" w:cs="Arial"/>
          <w:lang w:val="en-CA" w:eastAsia="zh-CN"/>
        </w:rPr>
        <w:t xml:space="preserve">A full range of </w:t>
      </w:r>
      <w:proofErr w:type="spellStart"/>
      <w:r w:rsidR="00222D87" w:rsidRPr="00222D87">
        <w:rPr>
          <w:rFonts w:ascii="Arial" w:eastAsia="SimSun" w:hAnsi="Arial" w:cs="Arial"/>
          <w:lang w:val="en-CA" w:eastAsia="zh-CN"/>
        </w:rPr>
        <w:t>physico</w:t>
      </w:r>
      <w:proofErr w:type="spellEnd"/>
      <w:r w:rsidR="00222D87" w:rsidRPr="00222D87">
        <w:rPr>
          <w:rFonts w:ascii="Arial" w:eastAsia="SimSun" w:hAnsi="Arial" w:cs="Arial"/>
          <w:lang w:val="en-CA" w:eastAsia="zh-CN"/>
        </w:rPr>
        <w:t xml:space="preserve">-chemical methods was used </w:t>
      </w:r>
      <w:r w:rsidR="00F43394">
        <w:rPr>
          <w:rFonts w:ascii="Arial" w:eastAsia="SimSun" w:hAnsi="Arial" w:cs="Arial"/>
          <w:lang w:val="en-CA" w:eastAsia="zh-CN"/>
        </w:rPr>
        <w:t>to characterise the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encapsulation </w:t>
      </w:r>
      <w:r w:rsidR="005C6D84">
        <w:rPr>
          <w:rFonts w:ascii="Arial" w:eastAsia="SimSun" w:hAnsi="Arial" w:cs="Arial"/>
          <w:lang w:val="en-CA" w:eastAsia="zh-CN"/>
        </w:rPr>
        <w:t>systems</w:t>
      </w:r>
      <w:r w:rsidR="00222D87" w:rsidRPr="00222D87">
        <w:rPr>
          <w:rFonts w:ascii="Arial" w:eastAsia="SimSun" w:hAnsi="Arial" w:cs="Arial"/>
          <w:lang w:val="en-CA" w:eastAsia="zh-CN"/>
        </w:rPr>
        <w:t>, such as static and dynamic light scattering, zeta-potential measurements, SDS-PAGE, HPLC, Nuclear Magnetic Resonance (NMR), confocal laser light microscopy, Scanning and Transmission Electron Microscopy (SEM, TEM)</w:t>
      </w:r>
      <w:r w:rsidR="00F43394">
        <w:rPr>
          <w:rFonts w:ascii="Arial" w:eastAsia="SimSun" w:hAnsi="Arial" w:cs="Arial"/>
          <w:lang w:val="en-CA" w:eastAsia="zh-CN"/>
        </w:rPr>
        <w:t xml:space="preserve"> and</w:t>
      </w:r>
      <w:r w:rsidR="00222D87" w:rsidRPr="00222D87">
        <w:rPr>
          <w:rFonts w:ascii="Arial" w:eastAsia="SimSun" w:hAnsi="Arial" w:cs="Arial"/>
          <w:lang w:val="en-CA" w:eastAsia="zh-CN"/>
        </w:rPr>
        <w:t xml:space="preserve"> Atomic Force Microscopy (AFM)</w:t>
      </w:r>
      <w:r w:rsidR="006E2B24">
        <w:rPr>
          <w:rFonts w:ascii="Arial" w:eastAsia="SimSun" w:hAnsi="Arial" w:cs="Arial"/>
          <w:lang w:val="en-CA" w:eastAsia="zh-CN"/>
        </w:rPr>
        <w:t>.</w:t>
      </w:r>
    </w:p>
    <w:p w:rsidR="00E661F1" w:rsidRPr="00E661F1" w:rsidRDefault="00E661F1" w:rsidP="00E661F1">
      <w:pPr>
        <w:autoSpaceDE w:val="0"/>
        <w:autoSpaceDN w:val="0"/>
        <w:spacing w:after="0" w:line="240" w:lineRule="auto"/>
        <w:rPr>
          <w:rFonts w:ascii="Arial" w:eastAsia="SimSun" w:hAnsi="Arial" w:cs="Arial"/>
          <w:lang w:val="nb-NO" w:eastAsia="zh-CN"/>
        </w:rPr>
      </w:pPr>
    </w:p>
    <w:p w:rsidR="00E661F1" w:rsidRPr="00E661F1" w:rsidRDefault="00E661F1" w:rsidP="00E661F1">
      <w:pPr>
        <w:autoSpaceDE w:val="0"/>
        <w:autoSpaceDN w:val="0"/>
        <w:spacing w:after="0" w:line="240" w:lineRule="auto"/>
        <w:rPr>
          <w:rFonts w:ascii="Arial" w:eastAsia="SimSun" w:hAnsi="Arial" w:cs="Arial"/>
          <w:lang w:val="nb-NO" w:eastAsia="zh-CN"/>
        </w:rPr>
      </w:pPr>
      <w:r w:rsidRPr="00E661F1">
        <w:rPr>
          <w:rFonts w:ascii="Arial" w:eastAsia="SimSun" w:hAnsi="Arial" w:cs="Arial"/>
          <w:lang w:val="nb-NO" w:eastAsia="zh-CN"/>
        </w:rPr>
        <w:t>Acknowledgements</w:t>
      </w:r>
    </w:p>
    <w:p w:rsidR="006E2B24" w:rsidRDefault="006E2B24" w:rsidP="00E661F1">
      <w:pPr>
        <w:autoSpaceDE w:val="0"/>
        <w:autoSpaceDN w:val="0"/>
        <w:spacing w:after="0" w:line="240" w:lineRule="auto"/>
        <w:rPr>
          <w:rFonts w:ascii="Arial" w:eastAsia="SimSun" w:hAnsi="Arial" w:cs="Arial"/>
          <w:lang w:val="nb-NO" w:eastAsia="zh-CN"/>
        </w:rPr>
      </w:pPr>
      <w:r>
        <w:rPr>
          <w:rFonts w:ascii="Arial" w:eastAsia="SimSun" w:hAnsi="Arial" w:cs="Arial"/>
          <w:lang w:val="nb-NO" w:eastAsia="zh-CN"/>
        </w:rPr>
        <w:t xml:space="preserve">The presented work by </w:t>
      </w:r>
      <w:r w:rsidR="00F43394">
        <w:rPr>
          <w:rFonts w:ascii="Arial" w:eastAsia="SimSun" w:hAnsi="Arial" w:cs="Arial"/>
          <w:lang w:val="nb-NO" w:eastAsia="zh-CN"/>
        </w:rPr>
        <w:t xml:space="preserve">the </w:t>
      </w:r>
      <w:r>
        <w:rPr>
          <w:rFonts w:ascii="Arial" w:eastAsia="SimSun" w:hAnsi="Arial" w:cs="Arial"/>
          <w:lang w:val="nb-NO" w:eastAsia="zh-CN"/>
        </w:rPr>
        <w:t xml:space="preserve">author and co-workers was </w:t>
      </w:r>
      <w:r w:rsidR="005C6D84">
        <w:rPr>
          <w:rFonts w:ascii="Arial" w:eastAsia="SimSun" w:hAnsi="Arial" w:cs="Arial"/>
          <w:lang w:val="nb-NO" w:eastAsia="zh-CN"/>
        </w:rPr>
        <w:t>supported</w:t>
      </w:r>
      <w:r w:rsidR="00F43394">
        <w:rPr>
          <w:rFonts w:ascii="Arial" w:eastAsia="SimSun" w:hAnsi="Arial" w:cs="Arial"/>
          <w:lang w:val="nb-NO" w:eastAsia="zh-CN"/>
        </w:rPr>
        <w:t xml:space="preserve"> </w:t>
      </w:r>
      <w:r w:rsidR="005C6D84">
        <w:rPr>
          <w:rFonts w:ascii="Arial" w:eastAsia="SimSun" w:hAnsi="Arial" w:cs="Arial"/>
          <w:lang w:val="nb-NO" w:eastAsia="zh-CN"/>
        </w:rPr>
        <w:t>by</w:t>
      </w:r>
      <w:r>
        <w:rPr>
          <w:rFonts w:ascii="Arial" w:eastAsia="SimSun" w:hAnsi="Arial" w:cs="Arial"/>
          <w:lang w:val="nb-NO" w:eastAsia="zh-CN"/>
        </w:rPr>
        <w:t xml:space="preserve"> national programs (FIRM Depa</w:t>
      </w:r>
      <w:r w:rsidR="005C6D84">
        <w:rPr>
          <w:rFonts w:ascii="Arial" w:eastAsia="SimSun" w:hAnsi="Arial" w:cs="Arial"/>
          <w:lang w:val="nb-NO" w:eastAsia="zh-CN"/>
        </w:rPr>
        <w:t>r</w:t>
      </w:r>
      <w:r>
        <w:rPr>
          <w:rFonts w:ascii="Arial" w:eastAsia="SimSun" w:hAnsi="Arial" w:cs="Arial"/>
          <w:lang w:val="nb-NO" w:eastAsia="zh-CN"/>
        </w:rPr>
        <w:t>tment of Agriculture, Food and the Marine, Dairy Levy</w:t>
      </w:r>
      <w:r w:rsidR="005C6D84">
        <w:rPr>
          <w:rFonts w:ascii="Arial" w:eastAsia="SimSun" w:hAnsi="Arial" w:cs="Arial"/>
          <w:lang w:val="nb-NO" w:eastAsia="zh-CN"/>
        </w:rPr>
        <w:t xml:space="preserve"> Research Fund</w:t>
      </w:r>
      <w:r>
        <w:rPr>
          <w:rFonts w:ascii="Arial" w:eastAsia="SimSun" w:hAnsi="Arial" w:cs="Arial"/>
          <w:lang w:val="nb-NO" w:eastAsia="zh-CN"/>
        </w:rPr>
        <w:t>, Walsh Fellowship) and international networks (Bioencapsulation Research Group BRG, COST INFOGEST FA1005).</w:t>
      </w:r>
    </w:p>
    <w:p w:rsidR="00902DAC" w:rsidRDefault="00902DAC" w:rsidP="00E661F1">
      <w:pPr>
        <w:autoSpaceDE w:val="0"/>
        <w:autoSpaceDN w:val="0"/>
        <w:spacing w:after="0" w:line="240" w:lineRule="auto"/>
        <w:rPr>
          <w:rFonts w:ascii="Arial" w:eastAsia="SimSun" w:hAnsi="Arial" w:cs="Arial"/>
          <w:lang w:val="nb-NO" w:eastAsia="zh-CN"/>
        </w:rPr>
      </w:pPr>
    </w:p>
    <w:p w:rsidR="006E2B24" w:rsidRPr="00902DAC" w:rsidRDefault="00902DAC" w:rsidP="00E661F1">
      <w:pPr>
        <w:autoSpaceDE w:val="0"/>
        <w:autoSpaceDN w:val="0"/>
        <w:spacing w:after="0" w:line="240" w:lineRule="auto"/>
        <w:rPr>
          <w:rFonts w:ascii="Arial" w:eastAsia="SimSun" w:hAnsi="Arial" w:cs="Arial"/>
          <w:sz w:val="20"/>
          <w:lang w:val="nb-NO" w:eastAsia="zh-CN"/>
        </w:rPr>
      </w:pPr>
      <w:r w:rsidRPr="00902DAC">
        <w:rPr>
          <w:rFonts w:ascii="Arial" w:eastAsia="SimSun" w:hAnsi="Arial" w:cs="Arial"/>
          <w:sz w:val="20"/>
          <w:lang w:val="nb-NO" w:eastAsia="zh-CN"/>
        </w:rPr>
        <w:t>References</w:t>
      </w:r>
    </w:p>
    <w:p w:rsidR="00902DAC" w:rsidRPr="00902DAC" w:rsidRDefault="00222D87" w:rsidP="00902DAC">
      <w:pPr>
        <w:pStyle w:val="EndNoteBibliography"/>
        <w:spacing w:after="0"/>
        <w:ind w:left="720" w:hanging="720"/>
        <w:rPr>
          <w:rFonts w:ascii="Arial" w:hAnsi="Arial" w:cs="Arial"/>
          <w:sz w:val="20"/>
        </w:rPr>
      </w:pPr>
      <w:r w:rsidRPr="00902DAC">
        <w:rPr>
          <w:rFonts w:ascii="Arial" w:hAnsi="Arial" w:cs="Arial"/>
          <w:sz w:val="20"/>
        </w:rPr>
        <w:fldChar w:fldCharType="begin"/>
      </w:r>
      <w:r w:rsidRPr="00902DAC">
        <w:rPr>
          <w:rFonts w:ascii="Arial" w:hAnsi="Arial" w:cs="Arial"/>
          <w:sz w:val="20"/>
        </w:rPr>
        <w:instrText xml:space="preserve"> ADDIN EN.REFLIST </w:instrText>
      </w:r>
      <w:r w:rsidRPr="00902DAC">
        <w:rPr>
          <w:rFonts w:ascii="Arial" w:hAnsi="Arial" w:cs="Arial"/>
          <w:sz w:val="20"/>
        </w:rPr>
        <w:fldChar w:fldCharType="separate"/>
      </w:r>
      <w:r w:rsidR="00902DAC" w:rsidRPr="00902DAC">
        <w:rPr>
          <w:rFonts w:ascii="Arial" w:hAnsi="Arial" w:cs="Arial"/>
          <w:sz w:val="20"/>
        </w:rPr>
        <w:t>1</w:t>
      </w:r>
      <w:r w:rsidR="00902DAC" w:rsidRPr="00902DAC">
        <w:rPr>
          <w:rFonts w:ascii="Arial" w:hAnsi="Arial" w:cs="Arial"/>
          <w:sz w:val="20"/>
        </w:rPr>
        <w:tab/>
        <w:t>Doherty, S. B., Gee, V. L., Ross, R. P.</w:t>
      </w:r>
      <w:r w:rsidR="00902DAC" w:rsidRPr="00902DAC">
        <w:rPr>
          <w:rFonts w:ascii="Arial" w:hAnsi="Arial" w:cs="Arial"/>
          <w:i/>
          <w:sz w:val="20"/>
        </w:rPr>
        <w:t xml:space="preserve"> et al.</w:t>
      </w:r>
      <w:r w:rsidR="00902DAC" w:rsidRPr="00902DAC">
        <w:rPr>
          <w:rFonts w:ascii="Arial" w:hAnsi="Arial" w:cs="Arial"/>
          <w:sz w:val="20"/>
        </w:rPr>
        <w:t xml:space="preserve"> Development and characterisation of whey protein micro-beads as potential matrices for probiotic protection. </w:t>
      </w:r>
      <w:r w:rsidR="00902DAC" w:rsidRPr="00902DAC">
        <w:rPr>
          <w:rFonts w:ascii="Arial" w:hAnsi="Arial" w:cs="Arial"/>
          <w:i/>
          <w:sz w:val="20"/>
        </w:rPr>
        <w:t>Food Hydrocolloids</w:t>
      </w:r>
      <w:r w:rsidR="00902DAC" w:rsidRPr="00902DAC">
        <w:rPr>
          <w:rFonts w:ascii="Arial" w:hAnsi="Arial" w:cs="Arial"/>
          <w:sz w:val="20"/>
        </w:rPr>
        <w:t xml:space="preserve"> </w:t>
      </w:r>
      <w:r w:rsidR="00902DAC" w:rsidRPr="00902DAC">
        <w:rPr>
          <w:rFonts w:ascii="Arial" w:hAnsi="Arial" w:cs="Arial"/>
          <w:b/>
          <w:sz w:val="20"/>
        </w:rPr>
        <w:t>25</w:t>
      </w:r>
      <w:r w:rsidR="00902DAC" w:rsidRPr="00902DAC">
        <w:rPr>
          <w:rFonts w:ascii="Arial" w:hAnsi="Arial" w:cs="Arial"/>
          <w:sz w:val="20"/>
        </w:rPr>
        <w:t>, 1604-1617, (2011).</w:t>
      </w:r>
    </w:p>
    <w:p w:rsidR="00902DAC" w:rsidRPr="00902DAC" w:rsidRDefault="00902DAC" w:rsidP="00902DAC">
      <w:pPr>
        <w:pStyle w:val="EndNoteBibliography"/>
        <w:spacing w:after="0"/>
        <w:ind w:left="720" w:hanging="720"/>
        <w:rPr>
          <w:rFonts w:ascii="Arial" w:hAnsi="Arial" w:cs="Arial"/>
          <w:sz w:val="20"/>
        </w:rPr>
      </w:pPr>
      <w:r w:rsidRPr="00902DAC">
        <w:rPr>
          <w:rFonts w:ascii="Arial" w:hAnsi="Arial" w:cs="Arial"/>
          <w:sz w:val="20"/>
        </w:rPr>
        <w:t>2</w:t>
      </w:r>
      <w:r w:rsidRPr="00902DAC">
        <w:rPr>
          <w:rFonts w:ascii="Arial" w:hAnsi="Arial" w:cs="Arial"/>
          <w:sz w:val="20"/>
        </w:rPr>
        <w:tab/>
        <w:t>Minekus, M., Alminger, M., Alvito, P.</w:t>
      </w:r>
      <w:r w:rsidRPr="00902DAC">
        <w:rPr>
          <w:rFonts w:ascii="Arial" w:hAnsi="Arial" w:cs="Arial"/>
          <w:i/>
          <w:sz w:val="20"/>
        </w:rPr>
        <w:t xml:space="preserve"> et al.</w:t>
      </w:r>
      <w:r w:rsidRPr="00902DAC">
        <w:rPr>
          <w:rFonts w:ascii="Arial" w:hAnsi="Arial" w:cs="Arial"/>
          <w:sz w:val="20"/>
        </w:rPr>
        <w:t xml:space="preserve"> A standardised static in vitro digestion method suitable for food - an international consensus. </w:t>
      </w:r>
      <w:r w:rsidRPr="00902DAC">
        <w:rPr>
          <w:rFonts w:ascii="Arial" w:hAnsi="Arial" w:cs="Arial"/>
          <w:i/>
          <w:sz w:val="20"/>
        </w:rPr>
        <w:t>Food &amp; Function</w:t>
      </w:r>
      <w:r w:rsidRPr="00902DAC">
        <w:rPr>
          <w:rFonts w:ascii="Arial" w:hAnsi="Arial" w:cs="Arial"/>
          <w:sz w:val="20"/>
        </w:rPr>
        <w:t xml:space="preserve"> </w:t>
      </w:r>
      <w:r w:rsidRPr="00902DAC">
        <w:rPr>
          <w:rFonts w:ascii="Arial" w:hAnsi="Arial" w:cs="Arial"/>
          <w:b/>
          <w:sz w:val="20"/>
        </w:rPr>
        <w:t>5</w:t>
      </w:r>
      <w:r w:rsidRPr="00902DAC">
        <w:rPr>
          <w:rFonts w:ascii="Arial" w:hAnsi="Arial" w:cs="Arial"/>
          <w:sz w:val="20"/>
        </w:rPr>
        <w:t>, 1113-1124, (2014).</w:t>
      </w:r>
    </w:p>
    <w:p w:rsidR="00902DAC" w:rsidRPr="00902DAC" w:rsidRDefault="00902DAC" w:rsidP="00902DAC">
      <w:pPr>
        <w:pStyle w:val="EndNoteBibliography"/>
        <w:spacing w:after="0"/>
        <w:ind w:left="720" w:hanging="720"/>
        <w:rPr>
          <w:rFonts w:ascii="Arial" w:hAnsi="Arial" w:cs="Arial"/>
          <w:sz w:val="20"/>
        </w:rPr>
      </w:pPr>
      <w:r w:rsidRPr="00902DAC">
        <w:rPr>
          <w:rFonts w:ascii="Arial" w:hAnsi="Arial" w:cs="Arial"/>
          <w:sz w:val="20"/>
        </w:rPr>
        <w:t>3</w:t>
      </w:r>
      <w:r w:rsidRPr="00902DAC">
        <w:rPr>
          <w:rFonts w:ascii="Arial" w:hAnsi="Arial" w:cs="Arial"/>
          <w:sz w:val="20"/>
        </w:rPr>
        <w:tab/>
        <w:t>Le Maux, S., Brodkorb, A., Croguennec, T.</w:t>
      </w:r>
      <w:r w:rsidRPr="00902DAC">
        <w:rPr>
          <w:rFonts w:ascii="Arial" w:hAnsi="Arial" w:cs="Arial"/>
          <w:i/>
          <w:sz w:val="20"/>
        </w:rPr>
        <w:t xml:space="preserve"> et al.</w:t>
      </w:r>
      <w:r w:rsidRPr="00902DAC">
        <w:rPr>
          <w:rFonts w:ascii="Arial" w:hAnsi="Arial" w:cs="Arial"/>
          <w:sz w:val="20"/>
        </w:rPr>
        <w:t xml:space="preserve"> β-Lactoglobulin-linoleate complexes: In vitro digestion and the role of protein in fatty acids uptake. </w:t>
      </w:r>
      <w:r w:rsidRPr="00902DAC">
        <w:rPr>
          <w:rFonts w:ascii="Arial" w:hAnsi="Arial" w:cs="Arial"/>
          <w:i/>
          <w:sz w:val="20"/>
        </w:rPr>
        <w:t>J. Dairy Sci.</w:t>
      </w:r>
      <w:r w:rsidRPr="00902DAC">
        <w:rPr>
          <w:rFonts w:ascii="Arial" w:hAnsi="Arial" w:cs="Arial"/>
          <w:sz w:val="20"/>
        </w:rPr>
        <w:t xml:space="preserve"> </w:t>
      </w:r>
      <w:r w:rsidRPr="00902DAC">
        <w:rPr>
          <w:rFonts w:ascii="Arial" w:hAnsi="Arial" w:cs="Arial"/>
          <w:b/>
          <w:sz w:val="20"/>
        </w:rPr>
        <w:t>96</w:t>
      </w:r>
      <w:r w:rsidRPr="00902DAC">
        <w:rPr>
          <w:rFonts w:ascii="Arial" w:hAnsi="Arial" w:cs="Arial"/>
          <w:sz w:val="20"/>
        </w:rPr>
        <w:t>, 4258-4268, (2013).</w:t>
      </w:r>
    </w:p>
    <w:p w:rsidR="00902DAC" w:rsidRPr="00902DAC" w:rsidRDefault="00902DAC" w:rsidP="00902DAC">
      <w:pPr>
        <w:pStyle w:val="EndNoteBibliography"/>
        <w:ind w:left="720" w:hanging="720"/>
        <w:rPr>
          <w:rFonts w:ascii="Arial" w:hAnsi="Arial" w:cs="Arial"/>
          <w:sz w:val="20"/>
        </w:rPr>
      </w:pPr>
      <w:r w:rsidRPr="00902DAC">
        <w:rPr>
          <w:rFonts w:ascii="Arial" w:hAnsi="Arial" w:cs="Arial"/>
          <w:sz w:val="20"/>
        </w:rPr>
        <w:t>4</w:t>
      </w:r>
      <w:r w:rsidRPr="00902DAC">
        <w:rPr>
          <w:rFonts w:ascii="Arial" w:hAnsi="Arial" w:cs="Arial"/>
          <w:sz w:val="20"/>
        </w:rPr>
        <w:tab/>
        <w:t>Sullivan, L. M., Kehoe, J. J., Barry, L.</w:t>
      </w:r>
      <w:r w:rsidRPr="00902DAC">
        <w:rPr>
          <w:rFonts w:ascii="Arial" w:hAnsi="Arial" w:cs="Arial"/>
          <w:i/>
          <w:sz w:val="20"/>
        </w:rPr>
        <w:t xml:space="preserve"> et al.</w:t>
      </w:r>
      <w:r w:rsidRPr="00902DAC">
        <w:rPr>
          <w:rFonts w:ascii="Arial" w:hAnsi="Arial" w:cs="Arial"/>
          <w:sz w:val="20"/>
        </w:rPr>
        <w:t xml:space="preserve"> Gastric digestion of α-lactalbumin in adult human subjects using capsule endoscopy and nasogastric tube sampling. </w:t>
      </w:r>
      <w:r w:rsidRPr="00902DAC">
        <w:rPr>
          <w:rFonts w:ascii="Arial" w:hAnsi="Arial" w:cs="Arial"/>
          <w:i/>
          <w:sz w:val="20"/>
        </w:rPr>
        <w:t>Br. J. Nutr.</w:t>
      </w:r>
      <w:r w:rsidRPr="00902DAC">
        <w:rPr>
          <w:rFonts w:ascii="Arial" w:hAnsi="Arial" w:cs="Arial"/>
          <w:sz w:val="20"/>
        </w:rPr>
        <w:t xml:space="preserve"> </w:t>
      </w:r>
      <w:r w:rsidRPr="00902DAC">
        <w:rPr>
          <w:rFonts w:ascii="Arial" w:hAnsi="Arial" w:cs="Arial"/>
          <w:b/>
          <w:sz w:val="20"/>
        </w:rPr>
        <w:t>112</w:t>
      </w:r>
      <w:r w:rsidRPr="00902DAC">
        <w:rPr>
          <w:rFonts w:ascii="Arial" w:hAnsi="Arial" w:cs="Arial"/>
          <w:sz w:val="20"/>
        </w:rPr>
        <w:t>, 638–646, (2014).</w:t>
      </w:r>
    </w:p>
    <w:p w:rsidR="00B84797" w:rsidRDefault="00222D87">
      <w:r w:rsidRPr="00902DAC">
        <w:rPr>
          <w:rFonts w:ascii="Arial" w:hAnsi="Arial" w:cs="Arial"/>
          <w:sz w:val="20"/>
        </w:rPr>
        <w:fldChar w:fldCharType="end"/>
      </w:r>
    </w:p>
    <w:sectPr w:rsidR="00B8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03B0"/>
    <w:multiLevelType w:val="hybridMultilevel"/>
    <w:tmpl w:val="96D0316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F493C"/>
    <w:multiLevelType w:val="hybridMultilevel"/>
    <w:tmpl w:val="2D4622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format BR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szfde96adx5dewzt55psp6prwv9950wrxr&quot;&gt;Andre Master database Jan 2017&lt;record-ids&gt;&lt;item&gt;1577&lt;/item&gt;&lt;item&gt;1973&lt;/item&gt;&lt;item&gt;2099&lt;/item&gt;&lt;item&gt;2111&lt;/item&gt;&lt;/record-ids&gt;&lt;/item&gt;&lt;/Libraries&gt;"/>
  </w:docVars>
  <w:rsids>
    <w:rsidRoot w:val="00E661F1"/>
    <w:rsid w:val="000033BD"/>
    <w:rsid w:val="00222D87"/>
    <w:rsid w:val="00531A7E"/>
    <w:rsid w:val="005C6D84"/>
    <w:rsid w:val="006E2B24"/>
    <w:rsid w:val="007A02DC"/>
    <w:rsid w:val="0081105F"/>
    <w:rsid w:val="00902DAC"/>
    <w:rsid w:val="009C208A"/>
    <w:rsid w:val="00AA7663"/>
    <w:rsid w:val="00AD4843"/>
    <w:rsid w:val="00B8411A"/>
    <w:rsid w:val="00CF1C6F"/>
    <w:rsid w:val="00E661F1"/>
    <w:rsid w:val="00F43394"/>
    <w:rsid w:val="00F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1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661F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22D8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2D8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2D8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2D87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1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661F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22D8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2D8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2D8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2D87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Brodkorb</dc:creator>
  <cp:lastModifiedBy>Andre Brodkorb</cp:lastModifiedBy>
  <cp:revision>7</cp:revision>
  <cp:lastPrinted>2017-01-31T11:37:00Z</cp:lastPrinted>
  <dcterms:created xsi:type="dcterms:W3CDTF">2017-01-31T10:44:00Z</dcterms:created>
  <dcterms:modified xsi:type="dcterms:W3CDTF">2017-01-31T11:53:00Z</dcterms:modified>
</cp:coreProperties>
</file>