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66" w:rsidRPr="007E5D66" w:rsidRDefault="007E5D66" w:rsidP="008F51AE">
      <w:pPr>
        <w:jc w:val="both"/>
        <w:rPr>
          <w:rFonts w:ascii="Arial" w:hAnsi="Arial" w:cs="Arial"/>
          <w:b/>
          <w:bCs/>
          <w:i/>
          <w:iCs/>
          <w:sz w:val="28"/>
          <w:szCs w:val="28"/>
        </w:rPr>
      </w:pPr>
      <w:r w:rsidRPr="007E5D66">
        <w:rPr>
          <w:rFonts w:ascii="Arial" w:hAnsi="Arial" w:cs="Arial"/>
          <w:b/>
          <w:bCs/>
          <w:sz w:val="28"/>
          <w:szCs w:val="28"/>
        </w:rPr>
        <w:t xml:space="preserve">Physicochemical and Rheological Characteristics of Hybrid </w:t>
      </w:r>
      <w:proofErr w:type="spellStart"/>
      <w:r w:rsidRPr="007E5D66">
        <w:rPr>
          <w:rFonts w:ascii="Arial" w:hAnsi="Arial" w:cs="Arial"/>
          <w:b/>
          <w:bCs/>
          <w:sz w:val="28"/>
          <w:szCs w:val="28"/>
        </w:rPr>
        <w:t>Carrageenans</w:t>
      </w:r>
      <w:proofErr w:type="spellEnd"/>
      <w:r w:rsidRPr="007E5D66">
        <w:rPr>
          <w:rFonts w:ascii="Arial" w:hAnsi="Arial" w:cs="Arial"/>
          <w:b/>
          <w:bCs/>
          <w:sz w:val="28"/>
          <w:szCs w:val="28"/>
        </w:rPr>
        <w:t xml:space="preserve"> Derived from </w:t>
      </w:r>
      <w:proofErr w:type="spellStart"/>
      <w:r w:rsidRPr="007E5D66">
        <w:rPr>
          <w:rFonts w:ascii="Arial" w:hAnsi="Arial" w:cs="Arial"/>
          <w:b/>
          <w:bCs/>
          <w:i/>
          <w:iCs/>
          <w:sz w:val="28"/>
          <w:szCs w:val="28"/>
        </w:rPr>
        <w:t>Betaphycus</w:t>
      </w:r>
      <w:proofErr w:type="spellEnd"/>
      <w:r w:rsidRPr="007E5D66">
        <w:rPr>
          <w:rFonts w:ascii="Arial" w:hAnsi="Arial" w:cs="Arial"/>
          <w:b/>
          <w:bCs/>
          <w:i/>
          <w:iCs/>
          <w:sz w:val="28"/>
          <w:szCs w:val="28"/>
        </w:rPr>
        <w:t xml:space="preserve"> </w:t>
      </w:r>
      <w:proofErr w:type="spellStart"/>
      <w:r w:rsidRPr="007E5D66">
        <w:rPr>
          <w:rFonts w:ascii="Arial" w:hAnsi="Arial" w:cs="Arial"/>
          <w:b/>
          <w:bCs/>
          <w:i/>
          <w:iCs/>
          <w:sz w:val="28"/>
          <w:szCs w:val="28"/>
        </w:rPr>
        <w:t>gelatinus</w:t>
      </w:r>
      <w:proofErr w:type="spellEnd"/>
    </w:p>
    <w:p w:rsidR="00B737FF" w:rsidRPr="007E5D66" w:rsidRDefault="002D3B7A" w:rsidP="008F51AE">
      <w:pPr>
        <w:jc w:val="both"/>
        <w:rPr>
          <w:rFonts w:ascii="Times New Roman" w:hAnsi="Times New Roman" w:cs="Times New Roman"/>
          <w:bCs/>
          <w:sz w:val="24"/>
          <w:szCs w:val="24"/>
          <w:vertAlign w:val="superscript"/>
        </w:rPr>
      </w:pPr>
      <w:r w:rsidRPr="007E5D66">
        <w:rPr>
          <w:rFonts w:ascii="Times New Roman" w:hAnsi="Times New Roman" w:cs="Times New Roman"/>
          <w:bCs/>
          <w:sz w:val="24"/>
          <w:szCs w:val="24"/>
          <w:u w:val="single"/>
        </w:rPr>
        <w:t xml:space="preserve">Sanjida </w:t>
      </w:r>
      <w:proofErr w:type="spellStart"/>
      <w:r w:rsidRPr="007E5D66">
        <w:rPr>
          <w:rFonts w:ascii="Times New Roman" w:hAnsi="Times New Roman" w:cs="Times New Roman"/>
          <w:bCs/>
          <w:sz w:val="24"/>
          <w:szCs w:val="24"/>
          <w:u w:val="single"/>
        </w:rPr>
        <w:t>Humayun</w:t>
      </w:r>
      <w:r w:rsidR="0020353D" w:rsidRPr="007E5D66">
        <w:rPr>
          <w:rFonts w:ascii="Times New Roman" w:hAnsi="Times New Roman" w:cs="Times New Roman"/>
          <w:bCs/>
          <w:sz w:val="24"/>
          <w:szCs w:val="24"/>
          <w:u w:val="single"/>
          <w:vertAlign w:val="superscript"/>
        </w:rPr>
        <w:t>a</w:t>
      </w:r>
      <w:proofErr w:type="spellEnd"/>
      <w:r w:rsidRPr="007E5D66">
        <w:rPr>
          <w:rFonts w:ascii="Times New Roman" w:hAnsi="Times New Roman" w:cs="Times New Roman"/>
          <w:bCs/>
          <w:sz w:val="24"/>
          <w:szCs w:val="24"/>
        </w:rPr>
        <w:t xml:space="preserve">, </w:t>
      </w:r>
      <w:proofErr w:type="spellStart"/>
      <w:r w:rsidRPr="007E5D66">
        <w:rPr>
          <w:rFonts w:ascii="Times New Roman" w:hAnsi="Times New Roman" w:cs="Times New Roman"/>
          <w:bCs/>
          <w:sz w:val="24"/>
          <w:szCs w:val="24"/>
        </w:rPr>
        <w:t>Amal</w:t>
      </w:r>
      <w:proofErr w:type="spellEnd"/>
      <w:r w:rsidRPr="007E5D66">
        <w:rPr>
          <w:rFonts w:ascii="Times New Roman" w:hAnsi="Times New Roman" w:cs="Times New Roman"/>
          <w:bCs/>
          <w:sz w:val="24"/>
          <w:szCs w:val="24"/>
        </w:rPr>
        <w:t xml:space="preserve"> D. </w:t>
      </w:r>
      <w:proofErr w:type="spellStart"/>
      <w:r w:rsidRPr="007E5D66">
        <w:rPr>
          <w:rFonts w:ascii="Times New Roman" w:hAnsi="Times New Roman" w:cs="Times New Roman"/>
          <w:bCs/>
          <w:sz w:val="24"/>
          <w:szCs w:val="24"/>
        </w:rPr>
        <w:t>Premarathna</w:t>
      </w:r>
      <w:r w:rsidR="0020353D" w:rsidRPr="007E5D66">
        <w:rPr>
          <w:rFonts w:ascii="Times New Roman" w:hAnsi="Times New Roman" w:cs="Times New Roman"/>
          <w:bCs/>
          <w:sz w:val="24"/>
          <w:szCs w:val="24"/>
          <w:vertAlign w:val="superscript"/>
        </w:rPr>
        <w:t>a</w:t>
      </w:r>
      <w:proofErr w:type="spellEnd"/>
      <w:r w:rsidRPr="007E5D66">
        <w:rPr>
          <w:rFonts w:ascii="Times New Roman" w:hAnsi="Times New Roman" w:cs="Times New Roman"/>
          <w:bCs/>
          <w:sz w:val="24"/>
          <w:szCs w:val="24"/>
        </w:rPr>
        <w:t xml:space="preserve">, </w:t>
      </w:r>
      <w:proofErr w:type="spellStart"/>
      <w:r w:rsidRPr="007E5D66">
        <w:rPr>
          <w:rFonts w:ascii="Times New Roman" w:hAnsi="Times New Roman" w:cs="Times New Roman"/>
          <w:bCs/>
          <w:sz w:val="24"/>
          <w:szCs w:val="24"/>
        </w:rPr>
        <w:t>Vitalijs</w:t>
      </w:r>
      <w:proofErr w:type="spellEnd"/>
      <w:r w:rsidRPr="007E5D66">
        <w:rPr>
          <w:rFonts w:ascii="Times New Roman" w:hAnsi="Times New Roman" w:cs="Times New Roman"/>
          <w:bCs/>
          <w:sz w:val="24"/>
          <w:szCs w:val="24"/>
        </w:rPr>
        <w:t xml:space="preserve"> </w:t>
      </w:r>
      <w:proofErr w:type="spellStart"/>
      <w:proofErr w:type="gramStart"/>
      <w:r w:rsidRPr="007E5D66">
        <w:rPr>
          <w:rFonts w:ascii="Times New Roman" w:hAnsi="Times New Roman" w:cs="Times New Roman"/>
          <w:bCs/>
          <w:sz w:val="24"/>
          <w:szCs w:val="24"/>
        </w:rPr>
        <w:t>Rjabovs</w:t>
      </w:r>
      <w:r w:rsidR="0020353D" w:rsidRPr="007E5D66">
        <w:rPr>
          <w:rFonts w:ascii="Times New Roman" w:hAnsi="Times New Roman" w:cs="Times New Roman"/>
          <w:bCs/>
          <w:sz w:val="24"/>
          <w:szCs w:val="24"/>
          <w:vertAlign w:val="superscript"/>
        </w:rPr>
        <w:t>b,c</w:t>
      </w:r>
      <w:proofErr w:type="spellEnd"/>
      <w:proofErr w:type="gramEnd"/>
      <w:r w:rsidRPr="007E5D66">
        <w:rPr>
          <w:rFonts w:ascii="Times New Roman" w:hAnsi="Times New Roman" w:cs="Times New Roman"/>
          <w:bCs/>
          <w:sz w:val="24"/>
          <w:szCs w:val="24"/>
        </w:rPr>
        <w:t xml:space="preserve">, Alan T. </w:t>
      </w:r>
      <w:proofErr w:type="spellStart"/>
      <w:r w:rsidRPr="007E5D66">
        <w:rPr>
          <w:rFonts w:ascii="Times New Roman" w:hAnsi="Times New Roman" w:cs="Times New Roman"/>
          <w:bCs/>
          <w:sz w:val="24"/>
          <w:szCs w:val="24"/>
        </w:rPr>
        <w:t>Critchley</w:t>
      </w:r>
      <w:r w:rsidR="0020353D" w:rsidRPr="007E5D66">
        <w:rPr>
          <w:rFonts w:ascii="Times New Roman" w:hAnsi="Times New Roman" w:cs="Times New Roman"/>
          <w:bCs/>
          <w:sz w:val="24"/>
          <w:szCs w:val="24"/>
          <w:vertAlign w:val="superscript"/>
        </w:rPr>
        <w:t>d</w:t>
      </w:r>
      <w:proofErr w:type="spellEnd"/>
      <w:r w:rsidRPr="007E5D66">
        <w:rPr>
          <w:rFonts w:ascii="Times New Roman" w:hAnsi="Times New Roman" w:cs="Times New Roman"/>
          <w:bCs/>
          <w:sz w:val="24"/>
          <w:szCs w:val="24"/>
        </w:rPr>
        <w:t xml:space="preserve">, Michael Y. </w:t>
      </w:r>
      <w:proofErr w:type="spellStart"/>
      <w:r w:rsidRPr="007E5D66">
        <w:rPr>
          <w:rFonts w:ascii="Times New Roman" w:hAnsi="Times New Roman" w:cs="Times New Roman"/>
          <w:bCs/>
          <w:sz w:val="24"/>
          <w:szCs w:val="24"/>
        </w:rPr>
        <w:t>Roleda</w:t>
      </w:r>
      <w:r w:rsidR="0020353D" w:rsidRPr="007E5D66">
        <w:rPr>
          <w:rFonts w:ascii="Times New Roman" w:hAnsi="Times New Roman" w:cs="Times New Roman"/>
          <w:bCs/>
          <w:sz w:val="24"/>
          <w:szCs w:val="24"/>
          <w:vertAlign w:val="superscript"/>
        </w:rPr>
        <w:t>e</w:t>
      </w:r>
      <w:proofErr w:type="spellEnd"/>
      <w:r w:rsidRPr="007E5D66">
        <w:rPr>
          <w:rFonts w:ascii="Times New Roman" w:hAnsi="Times New Roman" w:cs="Times New Roman"/>
          <w:bCs/>
          <w:sz w:val="24"/>
          <w:szCs w:val="24"/>
          <w:vertAlign w:val="superscript"/>
        </w:rPr>
        <w:t xml:space="preserve"> </w:t>
      </w:r>
      <w:r w:rsidR="0020353D" w:rsidRPr="007E5D66">
        <w:rPr>
          <w:rFonts w:ascii="Times New Roman" w:hAnsi="Times New Roman" w:cs="Times New Roman"/>
          <w:bCs/>
          <w:sz w:val="24"/>
          <w:szCs w:val="24"/>
        </w:rPr>
        <w:t xml:space="preserve">and Rando </w:t>
      </w:r>
      <w:proofErr w:type="spellStart"/>
      <w:r w:rsidR="0020353D" w:rsidRPr="007E5D66">
        <w:rPr>
          <w:rFonts w:ascii="Times New Roman" w:hAnsi="Times New Roman" w:cs="Times New Roman"/>
          <w:bCs/>
          <w:sz w:val="24"/>
          <w:szCs w:val="24"/>
        </w:rPr>
        <w:t>Tuvikene</w:t>
      </w:r>
      <w:r w:rsidR="0020353D" w:rsidRPr="007E5D66">
        <w:rPr>
          <w:rFonts w:ascii="Times New Roman" w:hAnsi="Times New Roman" w:cs="Times New Roman"/>
          <w:bCs/>
          <w:sz w:val="24"/>
          <w:szCs w:val="24"/>
          <w:vertAlign w:val="superscript"/>
        </w:rPr>
        <w:t>a</w:t>
      </w:r>
      <w:proofErr w:type="spellEnd"/>
    </w:p>
    <w:p w:rsidR="002D3B7A" w:rsidRPr="007E5D66" w:rsidRDefault="0020353D" w:rsidP="008F51AE">
      <w:pPr>
        <w:jc w:val="both"/>
        <w:rPr>
          <w:rFonts w:ascii="Times New Roman" w:hAnsi="Times New Roman" w:cs="Times New Roman"/>
          <w:iCs/>
          <w:sz w:val="24"/>
          <w:szCs w:val="24"/>
        </w:rPr>
      </w:pPr>
      <w:r w:rsidRPr="007E5D66">
        <w:rPr>
          <w:rFonts w:ascii="Times New Roman" w:hAnsi="Times New Roman" w:cs="Times New Roman"/>
          <w:iCs/>
          <w:sz w:val="24"/>
          <w:szCs w:val="24"/>
          <w:vertAlign w:val="superscript"/>
        </w:rPr>
        <w:t xml:space="preserve">a </w:t>
      </w:r>
      <w:r w:rsidR="002D3B7A" w:rsidRPr="007E5D66">
        <w:rPr>
          <w:rFonts w:ascii="Times New Roman" w:hAnsi="Times New Roman" w:cs="Times New Roman"/>
          <w:iCs/>
          <w:sz w:val="24"/>
          <w:szCs w:val="24"/>
        </w:rPr>
        <w:t xml:space="preserve">School of Natural Sciences and Health, Tallinn University, </w:t>
      </w:r>
      <w:proofErr w:type="spellStart"/>
      <w:r w:rsidR="002D3B7A" w:rsidRPr="007E5D66">
        <w:rPr>
          <w:rFonts w:ascii="Times New Roman" w:hAnsi="Times New Roman" w:cs="Times New Roman"/>
          <w:iCs/>
          <w:sz w:val="24"/>
          <w:szCs w:val="24"/>
        </w:rPr>
        <w:t>Narva</w:t>
      </w:r>
      <w:proofErr w:type="spellEnd"/>
      <w:r w:rsidR="002D3B7A" w:rsidRPr="007E5D66">
        <w:rPr>
          <w:rFonts w:ascii="Times New Roman" w:hAnsi="Times New Roman" w:cs="Times New Roman"/>
          <w:iCs/>
          <w:sz w:val="24"/>
          <w:szCs w:val="24"/>
        </w:rPr>
        <w:t xml:space="preserve"> </w:t>
      </w:r>
      <w:proofErr w:type="spellStart"/>
      <w:r w:rsidR="002D3B7A" w:rsidRPr="007E5D66">
        <w:rPr>
          <w:rFonts w:ascii="Times New Roman" w:hAnsi="Times New Roman" w:cs="Times New Roman"/>
          <w:iCs/>
          <w:sz w:val="24"/>
          <w:szCs w:val="24"/>
        </w:rPr>
        <w:t>mnt</w:t>
      </w:r>
      <w:proofErr w:type="spellEnd"/>
      <w:r w:rsidR="002D3B7A" w:rsidRPr="007E5D66">
        <w:rPr>
          <w:rFonts w:ascii="Times New Roman" w:hAnsi="Times New Roman" w:cs="Times New Roman"/>
          <w:iCs/>
          <w:sz w:val="24"/>
          <w:szCs w:val="24"/>
        </w:rPr>
        <w:t xml:space="preserve"> 29, 10120 Tallinn, Estonia</w:t>
      </w:r>
    </w:p>
    <w:p w:rsidR="002D3B7A" w:rsidRPr="007E5D66" w:rsidRDefault="002D3B7A" w:rsidP="008F51AE">
      <w:pPr>
        <w:jc w:val="both"/>
        <w:rPr>
          <w:rFonts w:ascii="Times New Roman" w:hAnsi="Times New Roman" w:cs="Times New Roman"/>
          <w:iCs/>
          <w:sz w:val="24"/>
          <w:szCs w:val="24"/>
        </w:rPr>
      </w:pPr>
      <w:r w:rsidRPr="007E5D66">
        <w:rPr>
          <w:rFonts w:ascii="Times New Roman" w:hAnsi="Times New Roman" w:cs="Times New Roman"/>
          <w:sz w:val="24"/>
          <w:szCs w:val="24"/>
          <w:vertAlign w:val="superscript"/>
        </w:rPr>
        <w:t>b</w:t>
      </w:r>
      <w:r w:rsidRPr="007E5D66">
        <w:rPr>
          <w:rFonts w:ascii="Times New Roman" w:hAnsi="Times New Roman" w:cs="Times New Roman"/>
          <w:sz w:val="24"/>
          <w:szCs w:val="24"/>
        </w:rPr>
        <w:t xml:space="preserve"> </w:t>
      </w:r>
      <w:r w:rsidRPr="007E5D66">
        <w:rPr>
          <w:rFonts w:ascii="Times New Roman" w:hAnsi="Times New Roman" w:cs="Times New Roman"/>
          <w:iCs/>
          <w:sz w:val="24"/>
          <w:szCs w:val="24"/>
        </w:rPr>
        <w:t xml:space="preserve">National Institute of Chemical Physics &amp; Biophysics, </w:t>
      </w:r>
      <w:proofErr w:type="spellStart"/>
      <w:r w:rsidRPr="007E5D66">
        <w:rPr>
          <w:rFonts w:ascii="Times New Roman" w:hAnsi="Times New Roman" w:cs="Times New Roman"/>
          <w:iCs/>
          <w:sz w:val="24"/>
          <w:szCs w:val="24"/>
        </w:rPr>
        <w:t>Akadeemia</w:t>
      </w:r>
      <w:proofErr w:type="spellEnd"/>
      <w:r w:rsidRPr="007E5D66">
        <w:rPr>
          <w:rFonts w:ascii="Times New Roman" w:hAnsi="Times New Roman" w:cs="Times New Roman"/>
          <w:iCs/>
          <w:sz w:val="24"/>
          <w:szCs w:val="24"/>
        </w:rPr>
        <w:t xml:space="preserve"> tee 23, 12618 Tallinn, Estonia</w:t>
      </w:r>
    </w:p>
    <w:p w:rsidR="00581B66" w:rsidRPr="007E5D66" w:rsidRDefault="002D3B7A" w:rsidP="008F51AE">
      <w:pPr>
        <w:jc w:val="both"/>
        <w:rPr>
          <w:rFonts w:ascii="Times New Roman" w:hAnsi="Times New Roman" w:cs="Times New Roman"/>
          <w:iCs/>
          <w:sz w:val="24"/>
          <w:szCs w:val="24"/>
        </w:rPr>
      </w:pPr>
      <w:r w:rsidRPr="007E5D66">
        <w:rPr>
          <w:rFonts w:ascii="Times New Roman" w:hAnsi="Times New Roman" w:cs="Times New Roman"/>
          <w:sz w:val="24"/>
          <w:szCs w:val="24"/>
          <w:vertAlign w:val="superscript"/>
        </w:rPr>
        <w:t>c</w:t>
      </w:r>
      <w:r w:rsidRPr="007E5D66">
        <w:rPr>
          <w:rFonts w:ascii="Times New Roman" w:hAnsi="Times New Roman" w:cs="Times New Roman"/>
          <w:sz w:val="24"/>
          <w:szCs w:val="24"/>
        </w:rPr>
        <w:t xml:space="preserve"> </w:t>
      </w:r>
      <w:r w:rsidRPr="007E5D66">
        <w:rPr>
          <w:rFonts w:ascii="Times New Roman" w:hAnsi="Times New Roman" w:cs="Times New Roman"/>
          <w:iCs/>
          <w:sz w:val="24"/>
          <w:szCs w:val="24"/>
        </w:rPr>
        <w:t xml:space="preserve">Institute of Chemistry and Chemical Technology, Riga Technical University, Paula </w:t>
      </w:r>
      <w:proofErr w:type="spellStart"/>
      <w:r w:rsidRPr="007E5D66">
        <w:rPr>
          <w:rFonts w:ascii="Times New Roman" w:hAnsi="Times New Roman" w:cs="Times New Roman"/>
          <w:iCs/>
          <w:sz w:val="24"/>
          <w:szCs w:val="24"/>
        </w:rPr>
        <w:t>Valdena</w:t>
      </w:r>
      <w:proofErr w:type="spellEnd"/>
      <w:r w:rsidRPr="007E5D66">
        <w:rPr>
          <w:rFonts w:ascii="Times New Roman" w:hAnsi="Times New Roman" w:cs="Times New Roman"/>
          <w:iCs/>
          <w:sz w:val="24"/>
          <w:szCs w:val="24"/>
        </w:rPr>
        <w:t xml:space="preserve"> </w:t>
      </w:r>
      <w:proofErr w:type="spellStart"/>
      <w:r w:rsidRPr="007E5D66">
        <w:rPr>
          <w:rFonts w:ascii="Times New Roman" w:hAnsi="Times New Roman" w:cs="Times New Roman"/>
          <w:iCs/>
          <w:sz w:val="24"/>
          <w:szCs w:val="24"/>
        </w:rPr>
        <w:t>iela</w:t>
      </w:r>
      <w:proofErr w:type="spellEnd"/>
      <w:r w:rsidRPr="007E5D66">
        <w:rPr>
          <w:rFonts w:ascii="Times New Roman" w:hAnsi="Times New Roman" w:cs="Times New Roman"/>
          <w:iCs/>
          <w:sz w:val="24"/>
          <w:szCs w:val="24"/>
        </w:rPr>
        <w:t xml:space="preserve"> 3/7, LV-1048 Riga, Latvia</w:t>
      </w:r>
    </w:p>
    <w:p w:rsidR="0020353D" w:rsidRPr="007E5D66" w:rsidRDefault="0020353D" w:rsidP="008F51AE">
      <w:pPr>
        <w:jc w:val="both"/>
        <w:rPr>
          <w:rFonts w:ascii="Times New Roman" w:hAnsi="Times New Roman" w:cs="Times New Roman"/>
          <w:bCs/>
          <w:iCs/>
          <w:sz w:val="24"/>
          <w:szCs w:val="24"/>
        </w:rPr>
      </w:pPr>
      <w:r w:rsidRPr="007E5D66">
        <w:rPr>
          <w:rFonts w:ascii="Times New Roman" w:hAnsi="Times New Roman" w:cs="Times New Roman"/>
          <w:bCs/>
          <w:iCs/>
          <w:sz w:val="24"/>
          <w:szCs w:val="24"/>
          <w:vertAlign w:val="superscript"/>
        </w:rPr>
        <w:t xml:space="preserve">d </w:t>
      </w:r>
      <w:proofErr w:type="spellStart"/>
      <w:r w:rsidRPr="007E5D66">
        <w:rPr>
          <w:rFonts w:ascii="Times New Roman" w:hAnsi="Times New Roman" w:cs="Times New Roman"/>
          <w:bCs/>
          <w:iCs/>
          <w:sz w:val="24"/>
          <w:szCs w:val="24"/>
        </w:rPr>
        <w:t>Verschuren</w:t>
      </w:r>
      <w:proofErr w:type="spellEnd"/>
      <w:r w:rsidRPr="007E5D66">
        <w:rPr>
          <w:rFonts w:ascii="Times New Roman" w:hAnsi="Times New Roman" w:cs="Times New Roman"/>
          <w:bCs/>
          <w:iCs/>
          <w:sz w:val="24"/>
          <w:szCs w:val="24"/>
        </w:rPr>
        <w:t xml:space="preserve"> Centre for Sustainability in Energy and Environment, Sydney, NS B1M 1A2, Canada</w:t>
      </w:r>
    </w:p>
    <w:p w:rsidR="0020353D" w:rsidRPr="007E5D66" w:rsidRDefault="0020353D" w:rsidP="008F51AE">
      <w:pPr>
        <w:jc w:val="both"/>
        <w:rPr>
          <w:rFonts w:ascii="Times New Roman" w:hAnsi="Times New Roman" w:cs="Times New Roman"/>
          <w:bCs/>
          <w:iCs/>
          <w:sz w:val="24"/>
          <w:szCs w:val="24"/>
        </w:rPr>
      </w:pPr>
      <w:r w:rsidRPr="007E5D66">
        <w:rPr>
          <w:rFonts w:ascii="Times New Roman" w:hAnsi="Times New Roman" w:cs="Times New Roman"/>
          <w:bCs/>
          <w:iCs/>
          <w:sz w:val="24"/>
          <w:szCs w:val="24"/>
          <w:vertAlign w:val="superscript"/>
        </w:rPr>
        <w:t xml:space="preserve">e </w:t>
      </w:r>
      <w:r w:rsidRPr="007E5D66">
        <w:rPr>
          <w:rFonts w:ascii="Times New Roman" w:hAnsi="Times New Roman" w:cs="Times New Roman"/>
          <w:bCs/>
          <w:iCs/>
          <w:sz w:val="24"/>
          <w:szCs w:val="24"/>
        </w:rPr>
        <w:t>Algal Ecophysiology Laboratory (AlgaE Lab), The Marine Science Institute, College of Science, University of the Philippines, Diliman 1101, Quezon City, Philippines</w:t>
      </w:r>
    </w:p>
    <w:p w:rsidR="0020353D" w:rsidRPr="008F51AE" w:rsidRDefault="00500EAD" w:rsidP="008F51AE">
      <w:pPr>
        <w:jc w:val="both"/>
        <w:rPr>
          <w:b/>
          <w:bCs/>
          <w:sz w:val="24"/>
          <w:szCs w:val="24"/>
        </w:rPr>
      </w:pPr>
      <w:r w:rsidRPr="008F51AE">
        <w:rPr>
          <w:b/>
          <w:bCs/>
          <w:sz w:val="24"/>
          <w:szCs w:val="24"/>
        </w:rPr>
        <w:t>Abstract</w:t>
      </w:r>
    </w:p>
    <w:p w:rsidR="00714012" w:rsidRPr="007E5D66" w:rsidRDefault="00714012" w:rsidP="00714012">
      <w:pPr>
        <w:jc w:val="both"/>
        <w:rPr>
          <w:rFonts w:ascii="Arial" w:hAnsi="Arial" w:cs="Arial"/>
        </w:rPr>
      </w:pPr>
      <w:r w:rsidRPr="007E5D66">
        <w:rPr>
          <w:rFonts w:ascii="Arial" w:hAnsi="Arial" w:cs="Arial"/>
        </w:rPr>
        <w:t xml:space="preserve">A hybrid sulfated </w:t>
      </w:r>
      <w:proofErr w:type="spellStart"/>
      <w:r w:rsidRPr="007E5D66">
        <w:rPr>
          <w:rFonts w:ascii="Arial" w:hAnsi="Arial" w:cs="Arial"/>
        </w:rPr>
        <w:t>galactan</w:t>
      </w:r>
      <w:proofErr w:type="spellEnd"/>
      <w:r w:rsidRPr="007E5D66">
        <w:rPr>
          <w:rFonts w:ascii="Arial" w:hAnsi="Arial" w:cs="Arial"/>
        </w:rPr>
        <w:t>, composed of κ- and β-</w:t>
      </w:r>
      <w:proofErr w:type="spellStart"/>
      <w:r w:rsidRPr="007E5D66">
        <w:rPr>
          <w:rFonts w:ascii="Arial" w:hAnsi="Arial" w:cs="Arial"/>
        </w:rPr>
        <w:t>carrageenans</w:t>
      </w:r>
      <w:proofErr w:type="spellEnd"/>
      <w:r w:rsidRPr="007E5D66">
        <w:rPr>
          <w:rFonts w:ascii="Arial" w:hAnsi="Arial" w:cs="Arial"/>
        </w:rPr>
        <w:t xml:space="preserve">, was isolated </w:t>
      </w:r>
      <w:r w:rsidRPr="007E5D66">
        <w:rPr>
          <w:rFonts w:ascii="Arial" w:hAnsi="Arial" w:cs="Arial"/>
          <w:i/>
        </w:rPr>
        <w:t xml:space="preserve">from </w:t>
      </w:r>
      <w:proofErr w:type="spellStart"/>
      <w:r w:rsidRPr="007E5D66">
        <w:rPr>
          <w:rFonts w:ascii="Arial" w:hAnsi="Arial" w:cs="Arial"/>
          <w:i/>
        </w:rPr>
        <w:t>Betaphycus</w:t>
      </w:r>
      <w:proofErr w:type="spellEnd"/>
      <w:r w:rsidRPr="007E5D66">
        <w:rPr>
          <w:rFonts w:ascii="Arial" w:hAnsi="Arial" w:cs="Arial"/>
          <w:i/>
        </w:rPr>
        <w:t xml:space="preserve"> </w:t>
      </w:r>
      <w:proofErr w:type="spellStart"/>
      <w:r w:rsidRPr="007E5D66">
        <w:rPr>
          <w:rFonts w:ascii="Arial" w:hAnsi="Arial" w:cs="Arial"/>
          <w:i/>
        </w:rPr>
        <w:t>gelatinus</w:t>
      </w:r>
      <w:proofErr w:type="spellEnd"/>
      <w:r w:rsidRPr="007E5D66">
        <w:rPr>
          <w:rFonts w:ascii="Arial" w:hAnsi="Arial" w:cs="Arial"/>
          <w:i/>
        </w:rPr>
        <w:t xml:space="preserve"> </w:t>
      </w:r>
      <w:r w:rsidRPr="007E5D66">
        <w:rPr>
          <w:rFonts w:ascii="Arial" w:hAnsi="Arial" w:cs="Arial"/>
        </w:rPr>
        <w:t xml:space="preserve">(wild and cultivated) through successive cold (25 °C) and hot (95 °C and 110 °C) alkaline extractions, followed by alkali treatment of the extracted polymer to convert any remaining precursor molecules into the primary carrageenan. Both wild and cultivated </w:t>
      </w:r>
      <w:proofErr w:type="spellStart"/>
      <w:r w:rsidRPr="007E5D66">
        <w:rPr>
          <w:rFonts w:ascii="Arial" w:hAnsi="Arial" w:cs="Arial"/>
          <w:i/>
        </w:rPr>
        <w:t>Betaphycus</w:t>
      </w:r>
      <w:proofErr w:type="spellEnd"/>
      <w:r w:rsidRPr="007E5D66">
        <w:rPr>
          <w:rFonts w:ascii="Arial" w:hAnsi="Arial" w:cs="Arial"/>
        </w:rPr>
        <w:t xml:space="preserve"> </w:t>
      </w:r>
      <w:proofErr w:type="spellStart"/>
      <w:r w:rsidRPr="007E5D66">
        <w:rPr>
          <w:rFonts w:ascii="Arial" w:hAnsi="Arial" w:cs="Arial"/>
        </w:rPr>
        <w:t>galactans</w:t>
      </w:r>
      <w:proofErr w:type="spellEnd"/>
      <w:r w:rsidRPr="007E5D66">
        <w:rPr>
          <w:rFonts w:ascii="Arial" w:hAnsi="Arial" w:cs="Arial"/>
        </w:rPr>
        <w:t xml:space="preserve"> (native and alkali-treated) were characterized using high-performance size-exclusion chromatography (HP-SEC), high-performance ion-exclusion chromatography (HPICE), high-performance anion-exchange chromatography (HPAEC), FTIR, and NMR spectroscopy to determine molecular weight and structural properties. No significant differences were observed in molecular weight, monosaccharide composition, sulfate content, or structural makeup between the wild and cultivated samples. However, alkali-treated samples showed a reduction in sulfate content compared to their native counterparts. NMR spectra confirmed that during alkali treatment, γ-carrageenan was converted into β-carrageenan through </w:t>
      </w:r>
      <w:proofErr w:type="spellStart"/>
      <w:r w:rsidRPr="007E5D66">
        <w:rPr>
          <w:rFonts w:ascii="Arial" w:hAnsi="Arial" w:cs="Arial"/>
        </w:rPr>
        <w:t>desulfation</w:t>
      </w:r>
      <w:proofErr w:type="spellEnd"/>
      <w:r w:rsidRPr="007E5D66">
        <w:rPr>
          <w:rFonts w:ascii="Arial" w:hAnsi="Arial" w:cs="Arial"/>
        </w:rPr>
        <w:t xml:space="preserve">, explaining the reduction in sulfate groups. Further enzymatic </w:t>
      </w:r>
      <w:proofErr w:type="spellStart"/>
      <w:r w:rsidRPr="007E5D66">
        <w:rPr>
          <w:rFonts w:ascii="Arial" w:hAnsi="Arial" w:cs="Arial"/>
        </w:rPr>
        <w:t>depolymerization</w:t>
      </w:r>
      <w:proofErr w:type="spellEnd"/>
      <w:r w:rsidRPr="007E5D66">
        <w:rPr>
          <w:rFonts w:ascii="Arial" w:hAnsi="Arial" w:cs="Arial"/>
        </w:rPr>
        <w:t xml:space="preserve"> was performed using κ-</w:t>
      </w:r>
      <w:proofErr w:type="spellStart"/>
      <w:r w:rsidRPr="007E5D66">
        <w:rPr>
          <w:rFonts w:ascii="Arial" w:hAnsi="Arial" w:cs="Arial"/>
        </w:rPr>
        <w:t>carrageenase</w:t>
      </w:r>
      <w:proofErr w:type="spellEnd"/>
      <w:r w:rsidRPr="007E5D66">
        <w:rPr>
          <w:rFonts w:ascii="Arial" w:hAnsi="Arial" w:cs="Arial"/>
        </w:rPr>
        <w:t xml:space="preserve"> 16A from </w:t>
      </w:r>
      <w:proofErr w:type="spellStart"/>
      <w:r w:rsidRPr="007E5D66">
        <w:rPr>
          <w:rFonts w:ascii="Arial" w:hAnsi="Arial" w:cs="Arial"/>
          <w:i/>
        </w:rPr>
        <w:t>Zobellia</w:t>
      </w:r>
      <w:proofErr w:type="spellEnd"/>
      <w:r w:rsidRPr="007E5D66">
        <w:rPr>
          <w:rFonts w:ascii="Arial" w:hAnsi="Arial" w:cs="Arial"/>
          <w:i/>
        </w:rPr>
        <w:t xml:space="preserve"> </w:t>
      </w:r>
      <w:proofErr w:type="spellStart"/>
      <w:r w:rsidRPr="007E5D66">
        <w:rPr>
          <w:rFonts w:ascii="Arial" w:hAnsi="Arial" w:cs="Arial"/>
          <w:i/>
        </w:rPr>
        <w:t>galactanivorans</w:t>
      </w:r>
      <w:proofErr w:type="spellEnd"/>
      <w:r w:rsidRPr="007E5D66">
        <w:rPr>
          <w:rFonts w:ascii="Arial" w:hAnsi="Arial" w:cs="Arial"/>
        </w:rPr>
        <w:t xml:space="preserve"> to investigate the distribution of κ- and β-</w:t>
      </w:r>
      <w:proofErr w:type="spellStart"/>
      <w:r w:rsidRPr="007E5D66">
        <w:rPr>
          <w:rFonts w:ascii="Arial" w:hAnsi="Arial" w:cs="Arial"/>
        </w:rPr>
        <w:t>carrabiose</w:t>
      </w:r>
      <w:proofErr w:type="spellEnd"/>
      <w:r w:rsidRPr="007E5D66">
        <w:rPr>
          <w:rFonts w:ascii="Arial" w:hAnsi="Arial" w:cs="Arial"/>
        </w:rPr>
        <w:t xml:space="preserve"> moieties. Enzyme-resistant and enzyme-sensitive fractions were isolated and characterized by NMR. The enzyme-resistant fraction was rich in β-</w:t>
      </w:r>
      <w:proofErr w:type="spellStart"/>
      <w:r w:rsidRPr="007E5D66">
        <w:rPr>
          <w:rFonts w:ascii="Arial" w:hAnsi="Arial" w:cs="Arial"/>
        </w:rPr>
        <w:t>carrageenans</w:t>
      </w:r>
      <w:proofErr w:type="spellEnd"/>
      <w:r w:rsidRPr="007E5D66">
        <w:rPr>
          <w:rFonts w:ascii="Arial" w:hAnsi="Arial" w:cs="Arial"/>
        </w:rPr>
        <w:t>, while the enzyme-sensitive fraction contained abundant oligo κ- or κ-β-</w:t>
      </w:r>
      <w:proofErr w:type="spellStart"/>
      <w:r w:rsidRPr="007E5D66">
        <w:rPr>
          <w:rFonts w:ascii="Arial" w:hAnsi="Arial" w:cs="Arial"/>
        </w:rPr>
        <w:t>carrageenans</w:t>
      </w:r>
      <w:proofErr w:type="spellEnd"/>
      <w:r w:rsidRPr="007E5D66">
        <w:rPr>
          <w:rFonts w:ascii="Arial" w:hAnsi="Arial" w:cs="Arial"/>
        </w:rPr>
        <w:t xml:space="preserve">, suggesting a </w:t>
      </w:r>
      <w:proofErr w:type="spellStart"/>
      <w:r w:rsidRPr="007E5D66">
        <w:rPr>
          <w:rFonts w:ascii="Arial" w:hAnsi="Arial" w:cs="Arial"/>
        </w:rPr>
        <w:t>blockwise</w:t>
      </w:r>
      <w:proofErr w:type="spellEnd"/>
      <w:r w:rsidRPr="007E5D66">
        <w:rPr>
          <w:rFonts w:ascii="Arial" w:hAnsi="Arial" w:cs="Arial"/>
        </w:rPr>
        <w:t xml:space="preserve"> distribution of κ- and β-</w:t>
      </w:r>
      <w:proofErr w:type="spellStart"/>
      <w:r w:rsidRPr="007E5D66">
        <w:rPr>
          <w:rFonts w:ascii="Arial" w:hAnsi="Arial" w:cs="Arial"/>
        </w:rPr>
        <w:t>carrageenans</w:t>
      </w:r>
      <w:proofErr w:type="spellEnd"/>
      <w:r w:rsidRPr="007E5D66">
        <w:rPr>
          <w:rFonts w:ascii="Arial" w:hAnsi="Arial" w:cs="Arial"/>
        </w:rPr>
        <w:t xml:space="preserve"> in the </w:t>
      </w:r>
      <w:proofErr w:type="spellStart"/>
      <w:r w:rsidRPr="007E5D66">
        <w:rPr>
          <w:rFonts w:ascii="Arial" w:hAnsi="Arial" w:cs="Arial"/>
          <w:i/>
        </w:rPr>
        <w:t>Betaphycus</w:t>
      </w:r>
      <w:proofErr w:type="spellEnd"/>
      <w:r w:rsidRPr="007E5D66">
        <w:rPr>
          <w:rFonts w:ascii="Arial" w:hAnsi="Arial" w:cs="Arial"/>
          <w:i/>
        </w:rPr>
        <w:t xml:space="preserve"> </w:t>
      </w:r>
      <w:proofErr w:type="spellStart"/>
      <w:r w:rsidRPr="007E5D66">
        <w:rPr>
          <w:rFonts w:ascii="Arial" w:hAnsi="Arial" w:cs="Arial"/>
          <w:i/>
        </w:rPr>
        <w:t>gelatinus</w:t>
      </w:r>
      <w:proofErr w:type="spellEnd"/>
      <w:r w:rsidRPr="007E5D66">
        <w:rPr>
          <w:rFonts w:ascii="Arial" w:hAnsi="Arial" w:cs="Arial"/>
        </w:rPr>
        <w:t xml:space="preserve"> polymer. The effect of alkali treatment and the influence of counter ions like K</w:t>
      </w:r>
      <w:r w:rsidRPr="007E5D66">
        <w:rPr>
          <w:rFonts w:ascii="Arial" w:hAnsi="Arial" w:cs="Arial"/>
          <w:vertAlign w:val="superscript"/>
        </w:rPr>
        <w:t>+</w:t>
      </w:r>
      <w:r w:rsidRPr="007E5D66">
        <w:rPr>
          <w:rFonts w:ascii="Arial" w:hAnsi="Arial" w:cs="Arial"/>
        </w:rPr>
        <w:t>, Ca</w:t>
      </w:r>
      <w:r w:rsidRPr="007E5D66">
        <w:rPr>
          <w:rFonts w:ascii="Arial" w:hAnsi="Arial" w:cs="Arial"/>
          <w:vertAlign w:val="superscript"/>
        </w:rPr>
        <w:t>2+</w:t>
      </w:r>
      <w:r w:rsidRPr="007E5D66">
        <w:rPr>
          <w:rFonts w:ascii="Arial" w:hAnsi="Arial" w:cs="Arial"/>
        </w:rPr>
        <w:t>, and Ba</w:t>
      </w:r>
      <w:r w:rsidRPr="007E5D66">
        <w:rPr>
          <w:rFonts w:ascii="Arial" w:hAnsi="Arial" w:cs="Arial"/>
          <w:vertAlign w:val="superscript"/>
        </w:rPr>
        <w:t>2+</w:t>
      </w:r>
      <w:r w:rsidRPr="007E5D66">
        <w:rPr>
          <w:rFonts w:ascii="Arial" w:hAnsi="Arial" w:cs="Arial"/>
        </w:rPr>
        <w:t xml:space="preserve"> on the thermo-rheological properties of this hybrid </w:t>
      </w:r>
      <w:proofErr w:type="spellStart"/>
      <w:r w:rsidRPr="007E5D66">
        <w:rPr>
          <w:rFonts w:ascii="Arial" w:hAnsi="Arial" w:cs="Arial"/>
        </w:rPr>
        <w:t>galactan</w:t>
      </w:r>
      <w:proofErr w:type="spellEnd"/>
      <w:r w:rsidRPr="007E5D66">
        <w:rPr>
          <w:rFonts w:ascii="Arial" w:hAnsi="Arial" w:cs="Arial"/>
        </w:rPr>
        <w:t xml:space="preserve"> gel were studied using dynamic </w:t>
      </w:r>
      <w:proofErr w:type="spellStart"/>
      <w:r w:rsidRPr="007E5D66">
        <w:rPr>
          <w:rFonts w:ascii="Arial" w:hAnsi="Arial" w:cs="Arial"/>
        </w:rPr>
        <w:t>rheometry</w:t>
      </w:r>
      <w:proofErr w:type="spellEnd"/>
      <w:r w:rsidRPr="007E5D66">
        <w:rPr>
          <w:rFonts w:ascii="Arial" w:hAnsi="Arial" w:cs="Arial"/>
        </w:rPr>
        <w:t xml:space="preserve">. Alkali treatment significantly enhanced the viscoelastic properties compared to the native polymer. K+ ions had a specific effect on the gel formation process of both native and alkali-treated hybrid polymers. This study marked the first observation of the strong gel-forming ability of </w:t>
      </w:r>
      <w:r w:rsidRPr="007E5D66">
        <w:rPr>
          <w:rFonts w:ascii="Arial" w:hAnsi="Arial" w:cs="Arial"/>
          <w:i/>
        </w:rPr>
        <w:t>Betaphycus</w:t>
      </w:r>
      <w:r w:rsidRPr="007E5D66">
        <w:rPr>
          <w:rFonts w:ascii="Arial" w:hAnsi="Arial" w:cs="Arial"/>
        </w:rPr>
        <w:t xml:space="preserve"> polymers, particularly in the presence of K</w:t>
      </w:r>
      <w:r w:rsidRPr="007E5D66">
        <w:rPr>
          <w:rFonts w:ascii="Arial" w:hAnsi="Arial" w:cs="Arial"/>
          <w:vertAlign w:val="superscript"/>
        </w:rPr>
        <w:t>+</w:t>
      </w:r>
      <w:r w:rsidRPr="007E5D66">
        <w:rPr>
          <w:rFonts w:ascii="Arial" w:hAnsi="Arial" w:cs="Arial"/>
        </w:rPr>
        <w:t xml:space="preserve"> ions.</w:t>
      </w:r>
    </w:p>
    <w:p w:rsidR="002A073E" w:rsidRDefault="002A073E" w:rsidP="00714012">
      <w:pPr>
        <w:jc w:val="both"/>
        <w:rPr>
          <w:b/>
          <w:bCs/>
          <w:sz w:val="24"/>
          <w:szCs w:val="24"/>
        </w:rPr>
      </w:pPr>
      <w:r w:rsidRPr="002A073E">
        <w:rPr>
          <w:b/>
          <w:bCs/>
          <w:sz w:val="24"/>
          <w:szCs w:val="24"/>
        </w:rPr>
        <w:t>References</w:t>
      </w:r>
    </w:p>
    <w:p w:rsidR="002A073E" w:rsidRPr="007E5D66" w:rsidRDefault="002A073E" w:rsidP="002A073E">
      <w:pPr>
        <w:jc w:val="both"/>
        <w:rPr>
          <w:rFonts w:ascii="Arial" w:hAnsi="Arial" w:cs="Arial"/>
          <w:bCs/>
          <w:sz w:val="20"/>
          <w:szCs w:val="20"/>
        </w:rPr>
      </w:pPr>
      <w:proofErr w:type="spellStart"/>
      <w:r w:rsidRPr="007E5D66">
        <w:rPr>
          <w:rFonts w:ascii="Arial" w:hAnsi="Arial" w:cs="Arial"/>
          <w:bCs/>
          <w:sz w:val="20"/>
          <w:szCs w:val="20"/>
        </w:rPr>
        <w:t>Tuvikene</w:t>
      </w:r>
      <w:proofErr w:type="spellEnd"/>
      <w:r w:rsidRPr="007E5D66">
        <w:rPr>
          <w:rFonts w:ascii="Arial" w:hAnsi="Arial" w:cs="Arial"/>
          <w:bCs/>
          <w:sz w:val="20"/>
          <w:szCs w:val="20"/>
        </w:rPr>
        <w:t xml:space="preserve">, R., </w:t>
      </w:r>
      <w:proofErr w:type="spellStart"/>
      <w:r w:rsidRPr="007E5D66">
        <w:rPr>
          <w:rFonts w:ascii="Arial" w:hAnsi="Arial" w:cs="Arial"/>
          <w:bCs/>
          <w:sz w:val="20"/>
          <w:szCs w:val="20"/>
        </w:rPr>
        <w:t>Robal</w:t>
      </w:r>
      <w:proofErr w:type="spellEnd"/>
      <w:r w:rsidRPr="007E5D66">
        <w:rPr>
          <w:rFonts w:ascii="Arial" w:hAnsi="Arial" w:cs="Arial"/>
          <w:bCs/>
          <w:sz w:val="20"/>
          <w:szCs w:val="20"/>
        </w:rPr>
        <w:t xml:space="preserve">, M., </w:t>
      </w:r>
      <w:proofErr w:type="spellStart"/>
      <w:r w:rsidRPr="007E5D66">
        <w:rPr>
          <w:rFonts w:ascii="Arial" w:hAnsi="Arial" w:cs="Arial"/>
          <w:bCs/>
          <w:sz w:val="20"/>
          <w:szCs w:val="20"/>
        </w:rPr>
        <w:t>Mändar</w:t>
      </w:r>
      <w:proofErr w:type="spellEnd"/>
      <w:r w:rsidRPr="007E5D66">
        <w:rPr>
          <w:rFonts w:ascii="Arial" w:hAnsi="Arial" w:cs="Arial"/>
          <w:bCs/>
          <w:sz w:val="20"/>
          <w:szCs w:val="20"/>
        </w:rPr>
        <w:t xml:space="preserve">, H., Fujita, D., </w:t>
      </w:r>
      <w:proofErr w:type="spellStart"/>
      <w:r w:rsidRPr="007E5D66">
        <w:rPr>
          <w:rFonts w:ascii="Arial" w:hAnsi="Arial" w:cs="Arial"/>
          <w:bCs/>
          <w:sz w:val="20"/>
          <w:szCs w:val="20"/>
        </w:rPr>
        <w:t>Saluri</w:t>
      </w:r>
      <w:proofErr w:type="spellEnd"/>
      <w:r w:rsidRPr="007E5D66">
        <w:rPr>
          <w:rFonts w:ascii="Arial" w:hAnsi="Arial" w:cs="Arial"/>
          <w:bCs/>
          <w:sz w:val="20"/>
          <w:szCs w:val="20"/>
        </w:rPr>
        <w:t xml:space="preserve">, K., </w:t>
      </w:r>
      <w:proofErr w:type="spellStart"/>
      <w:r w:rsidRPr="007E5D66">
        <w:rPr>
          <w:rFonts w:ascii="Arial" w:hAnsi="Arial" w:cs="Arial"/>
          <w:bCs/>
          <w:sz w:val="20"/>
          <w:szCs w:val="20"/>
        </w:rPr>
        <w:t>Truus</w:t>
      </w:r>
      <w:proofErr w:type="spellEnd"/>
      <w:r w:rsidRPr="007E5D66">
        <w:rPr>
          <w:rFonts w:ascii="Arial" w:hAnsi="Arial" w:cs="Arial"/>
          <w:bCs/>
          <w:sz w:val="20"/>
          <w:szCs w:val="20"/>
        </w:rPr>
        <w:t xml:space="preserve">, K., ... &amp; Matsukawa, S. (2015). </w:t>
      </w:r>
      <w:proofErr w:type="spellStart"/>
      <w:r w:rsidRPr="007E5D66">
        <w:rPr>
          <w:rFonts w:ascii="Arial" w:hAnsi="Arial" w:cs="Arial"/>
          <w:bCs/>
          <w:sz w:val="20"/>
          <w:szCs w:val="20"/>
        </w:rPr>
        <w:t>Funorans</w:t>
      </w:r>
      <w:proofErr w:type="spellEnd"/>
      <w:r w:rsidRPr="007E5D66">
        <w:rPr>
          <w:rFonts w:ascii="Arial" w:hAnsi="Arial" w:cs="Arial"/>
          <w:bCs/>
          <w:sz w:val="20"/>
          <w:szCs w:val="20"/>
        </w:rPr>
        <w:t xml:space="preserve"> from </w:t>
      </w:r>
      <w:proofErr w:type="spellStart"/>
      <w:r w:rsidRPr="007E5D66">
        <w:rPr>
          <w:rFonts w:ascii="Arial" w:hAnsi="Arial" w:cs="Arial"/>
          <w:bCs/>
          <w:i/>
          <w:sz w:val="20"/>
          <w:szCs w:val="20"/>
        </w:rPr>
        <w:t>Gloiopeltis</w:t>
      </w:r>
      <w:proofErr w:type="spellEnd"/>
      <w:r w:rsidRPr="007E5D66">
        <w:rPr>
          <w:rFonts w:ascii="Arial" w:hAnsi="Arial" w:cs="Arial"/>
          <w:bCs/>
          <w:sz w:val="20"/>
          <w:szCs w:val="20"/>
        </w:rPr>
        <w:t xml:space="preserve"> species. Part II. Rheology and thermal properties. </w:t>
      </w:r>
      <w:r w:rsidRPr="007E5D66">
        <w:rPr>
          <w:rFonts w:ascii="Arial" w:hAnsi="Arial" w:cs="Arial"/>
          <w:bCs/>
          <w:i/>
          <w:iCs/>
          <w:sz w:val="20"/>
          <w:szCs w:val="20"/>
        </w:rPr>
        <w:t>Food Hydrocolloids</w:t>
      </w:r>
      <w:r w:rsidRPr="007E5D66">
        <w:rPr>
          <w:rFonts w:ascii="Arial" w:hAnsi="Arial" w:cs="Arial"/>
          <w:bCs/>
          <w:sz w:val="20"/>
          <w:szCs w:val="20"/>
        </w:rPr>
        <w:t>, </w:t>
      </w:r>
      <w:r w:rsidRPr="007E5D66">
        <w:rPr>
          <w:rFonts w:ascii="Arial" w:hAnsi="Arial" w:cs="Arial"/>
          <w:bCs/>
          <w:i/>
          <w:iCs/>
          <w:sz w:val="20"/>
          <w:szCs w:val="20"/>
        </w:rPr>
        <w:t>43</w:t>
      </w:r>
      <w:r w:rsidRPr="007E5D66">
        <w:rPr>
          <w:rFonts w:ascii="Arial" w:hAnsi="Arial" w:cs="Arial"/>
          <w:bCs/>
          <w:sz w:val="20"/>
          <w:szCs w:val="20"/>
        </w:rPr>
        <w:t>, 649-657.</w:t>
      </w:r>
    </w:p>
    <w:p w:rsidR="002A073E" w:rsidRPr="007E5D66" w:rsidRDefault="000157E2" w:rsidP="002A073E">
      <w:pPr>
        <w:jc w:val="both"/>
        <w:rPr>
          <w:rFonts w:ascii="Arial" w:hAnsi="Arial" w:cs="Arial"/>
          <w:bCs/>
          <w:sz w:val="20"/>
          <w:szCs w:val="20"/>
        </w:rPr>
      </w:pPr>
      <w:proofErr w:type="spellStart"/>
      <w:r w:rsidRPr="007E5D66">
        <w:rPr>
          <w:rFonts w:ascii="Arial" w:hAnsi="Arial" w:cs="Arial"/>
          <w:bCs/>
          <w:sz w:val="20"/>
          <w:szCs w:val="20"/>
        </w:rPr>
        <w:lastRenderedPageBreak/>
        <w:t>Correc</w:t>
      </w:r>
      <w:proofErr w:type="spellEnd"/>
      <w:r w:rsidRPr="007E5D66">
        <w:rPr>
          <w:rFonts w:ascii="Arial" w:hAnsi="Arial" w:cs="Arial"/>
          <w:bCs/>
          <w:sz w:val="20"/>
          <w:szCs w:val="20"/>
        </w:rPr>
        <w:t xml:space="preserve">, G., </w:t>
      </w:r>
      <w:proofErr w:type="spellStart"/>
      <w:r w:rsidRPr="007E5D66">
        <w:rPr>
          <w:rFonts w:ascii="Arial" w:hAnsi="Arial" w:cs="Arial"/>
          <w:bCs/>
          <w:sz w:val="20"/>
          <w:szCs w:val="20"/>
        </w:rPr>
        <w:t>Barabanova</w:t>
      </w:r>
      <w:proofErr w:type="spellEnd"/>
      <w:r w:rsidRPr="007E5D66">
        <w:rPr>
          <w:rFonts w:ascii="Arial" w:hAnsi="Arial" w:cs="Arial"/>
          <w:bCs/>
          <w:sz w:val="20"/>
          <w:szCs w:val="20"/>
        </w:rPr>
        <w:t xml:space="preserve">, A., </w:t>
      </w:r>
      <w:proofErr w:type="spellStart"/>
      <w:r w:rsidRPr="007E5D66">
        <w:rPr>
          <w:rFonts w:ascii="Arial" w:hAnsi="Arial" w:cs="Arial"/>
          <w:bCs/>
          <w:sz w:val="20"/>
          <w:szCs w:val="20"/>
        </w:rPr>
        <w:t>Tuvikene</w:t>
      </w:r>
      <w:proofErr w:type="spellEnd"/>
      <w:r w:rsidRPr="007E5D66">
        <w:rPr>
          <w:rFonts w:ascii="Arial" w:hAnsi="Arial" w:cs="Arial"/>
          <w:bCs/>
          <w:sz w:val="20"/>
          <w:szCs w:val="20"/>
        </w:rPr>
        <w:t xml:space="preserve">, R., </w:t>
      </w:r>
      <w:proofErr w:type="spellStart"/>
      <w:r w:rsidRPr="007E5D66">
        <w:rPr>
          <w:rFonts w:ascii="Arial" w:hAnsi="Arial" w:cs="Arial"/>
          <w:bCs/>
          <w:sz w:val="20"/>
          <w:szCs w:val="20"/>
        </w:rPr>
        <w:t>Truus</w:t>
      </w:r>
      <w:proofErr w:type="spellEnd"/>
      <w:r w:rsidRPr="007E5D66">
        <w:rPr>
          <w:rFonts w:ascii="Arial" w:hAnsi="Arial" w:cs="Arial"/>
          <w:bCs/>
          <w:sz w:val="20"/>
          <w:szCs w:val="20"/>
        </w:rPr>
        <w:t xml:space="preserve">, K., </w:t>
      </w:r>
      <w:proofErr w:type="spellStart"/>
      <w:r w:rsidRPr="007E5D66">
        <w:rPr>
          <w:rFonts w:ascii="Arial" w:hAnsi="Arial" w:cs="Arial"/>
          <w:bCs/>
          <w:sz w:val="20"/>
          <w:szCs w:val="20"/>
        </w:rPr>
        <w:t>Yermak</w:t>
      </w:r>
      <w:proofErr w:type="spellEnd"/>
      <w:r w:rsidRPr="007E5D66">
        <w:rPr>
          <w:rFonts w:ascii="Arial" w:hAnsi="Arial" w:cs="Arial"/>
          <w:bCs/>
          <w:sz w:val="20"/>
          <w:szCs w:val="20"/>
        </w:rPr>
        <w:t xml:space="preserve">, I., &amp; </w:t>
      </w:r>
      <w:proofErr w:type="spellStart"/>
      <w:r w:rsidRPr="007E5D66">
        <w:rPr>
          <w:rFonts w:ascii="Arial" w:hAnsi="Arial" w:cs="Arial"/>
          <w:bCs/>
          <w:sz w:val="20"/>
          <w:szCs w:val="20"/>
        </w:rPr>
        <w:t>Helbert</w:t>
      </w:r>
      <w:proofErr w:type="spellEnd"/>
      <w:r w:rsidRPr="007E5D66">
        <w:rPr>
          <w:rFonts w:ascii="Arial" w:hAnsi="Arial" w:cs="Arial"/>
          <w:bCs/>
          <w:sz w:val="20"/>
          <w:szCs w:val="20"/>
        </w:rPr>
        <w:t>, W. (2012). Comparison of the structures of hybrid κ-/β-</w:t>
      </w:r>
      <w:proofErr w:type="spellStart"/>
      <w:r w:rsidRPr="007E5D66">
        <w:rPr>
          <w:rFonts w:ascii="Arial" w:hAnsi="Arial" w:cs="Arial"/>
          <w:bCs/>
          <w:sz w:val="20"/>
          <w:szCs w:val="20"/>
        </w:rPr>
        <w:t>carrageenans</w:t>
      </w:r>
      <w:proofErr w:type="spellEnd"/>
      <w:r w:rsidRPr="007E5D66">
        <w:rPr>
          <w:rFonts w:ascii="Arial" w:hAnsi="Arial" w:cs="Arial"/>
          <w:bCs/>
          <w:sz w:val="20"/>
          <w:szCs w:val="20"/>
        </w:rPr>
        <w:t xml:space="preserve"> extracted from </w:t>
      </w:r>
      <w:proofErr w:type="spellStart"/>
      <w:r w:rsidRPr="007E5D66">
        <w:rPr>
          <w:rFonts w:ascii="Arial" w:hAnsi="Arial" w:cs="Arial"/>
          <w:bCs/>
          <w:i/>
          <w:sz w:val="20"/>
          <w:szCs w:val="20"/>
        </w:rPr>
        <w:t>Furcellaria</w:t>
      </w:r>
      <w:proofErr w:type="spellEnd"/>
      <w:r w:rsidRPr="007E5D66">
        <w:rPr>
          <w:rFonts w:ascii="Arial" w:hAnsi="Arial" w:cs="Arial"/>
          <w:bCs/>
          <w:i/>
          <w:sz w:val="20"/>
          <w:szCs w:val="20"/>
        </w:rPr>
        <w:t xml:space="preserve"> </w:t>
      </w:r>
      <w:proofErr w:type="spellStart"/>
      <w:r w:rsidRPr="007E5D66">
        <w:rPr>
          <w:rFonts w:ascii="Arial" w:hAnsi="Arial" w:cs="Arial"/>
          <w:bCs/>
          <w:i/>
          <w:sz w:val="20"/>
          <w:szCs w:val="20"/>
        </w:rPr>
        <w:t>lumbricalis</w:t>
      </w:r>
      <w:proofErr w:type="spellEnd"/>
      <w:r w:rsidRPr="007E5D66">
        <w:rPr>
          <w:rFonts w:ascii="Arial" w:hAnsi="Arial" w:cs="Arial"/>
          <w:bCs/>
          <w:sz w:val="20"/>
          <w:szCs w:val="20"/>
        </w:rPr>
        <w:t xml:space="preserve"> and </w:t>
      </w:r>
      <w:proofErr w:type="spellStart"/>
      <w:r w:rsidRPr="007E5D66">
        <w:rPr>
          <w:rFonts w:ascii="Arial" w:hAnsi="Arial" w:cs="Arial"/>
          <w:bCs/>
          <w:sz w:val="20"/>
          <w:szCs w:val="20"/>
        </w:rPr>
        <w:t>Tichocarpus</w:t>
      </w:r>
      <w:proofErr w:type="spellEnd"/>
      <w:r w:rsidRPr="007E5D66">
        <w:rPr>
          <w:rFonts w:ascii="Arial" w:hAnsi="Arial" w:cs="Arial"/>
          <w:bCs/>
          <w:sz w:val="20"/>
          <w:szCs w:val="20"/>
        </w:rPr>
        <w:t xml:space="preserve"> </w:t>
      </w:r>
      <w:proofErr w:type="spellStart"/>
      <w:r w:rsidRPr="007E5D66">
        <w:rPr>
          <w:rFonts w:ascii="Arial" w:hAnsi="Arial" w:cs="Arial"/>
          <w:bCs/>
          <w:sz w:val="20"/>
          <w:szCs w:val="20"/>
        </w:rPr>
        <w:t>crinitus</w:t>
      </w:r>
      <w:proofErr w:type="spellEnd"/>
      <w:r w:rsidRPr="007E5D66">
        <w:rPr>
          <w:rFonts w:ascii="Arial" w:hAnsi="Arial" w:cs="Arial"/>
          <w:bCs/>
          <w:sz w:val="20"/>
          <w:szCs w:val="20"/>
        </w:rPr>
        <w:t>. </w:t>
      </w:r>
      <w:r w:rsidRPr="007E5D66">
        <w:rPr>
          <w:rFonts w:ascii="Arial" w:hAnsi="Arial" w:cs="Arial"/>
          <w:bCs/>
          <w:i/>
          <w:iCs/>
          <w:sz w:val="20"/>
          <w:szCs w:val="20"/>
        </w:rPr>
        <w:t>Carbohydrate polymers</w:t>
      </w:r>
      <w:r w:rsidRPr="007E5D66">
        <w:rPr>
          <w:rFonts w:ascii="Arial" w:hAnsi="Arial" w:cs="Arial"/>
          <w:bCs/>
          <w:sz w:val="20"/>
          <w:szCs w:val="20"/>
        </w:rPr>
        <w:t>, </w:t>
      </w:r>
      <w:r w:rsidRPr="007E5D66">
        <w:rPr>
          <w:rFonts w:ascii="Arial" w:hAnsi="Arial" w:cs="Arial"/>
          <w:bCs/>
          <w:i/>
          <w:iCs/>
          <w:sz w:val="20"/>
          <w:szCs w:val="20"/>
        </w:rPr>
        <w:t>88</w:t>
      </w:r>
      <w:r w:rsidRPr="007E5D66">
        <w:rPr>
          <w:rFonts w:ascii="Arial" w:hAnsi="Arial" w:cs="Arial"/>
          <w:bCs/>
          <w:sz w:val="20"/>
          <w:szCs w:val="20"/>
        </w:rPr>
        <w:t>(1), 31-36.</w:t>
      </w:r>
    </w:p>
    <w:p w:rsidR="000157E2" w:rsidRPr="002A073E" w:rsidRDefault="000157E2" w:rsidP="002A073E">
      <w:pPr>
        <w:jc w:val="both"/>
        <w:rPr>
          <w:bCs/>
          <w:sz w:val="24"/>
          <w:szCs w:val="24"/>
        </w:rPr>
      </w:pPr>
      <w:bookmarkStart w:id="0" w:name="_GoBack"/>
      <w:bookmarkEnd w:id="0"/>
    </w:p>
    <w:sectPr w:rsidR="000157E2" w:rsidRPr="002A0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84"/>
    <w:rsid w:val="000157E2"/>
    <w:rsid w:val="0002369C"/>
    <w:rsid w:val="00042584"/>
    <w:rsid w:val="00064FC6"/>
    <w:rsid w:val="00100ECA"/>
    <w:rsid w:val="0020353D"/>
    <w:rsid w:val="002A073E"/>
    <w:rsid w:val="002A618C"/>
    <w:rsid w:val="002D3B7A"/>
    <w:rsid w:val="00335E53"/>
    <w:rsid w:val="00462BEE"/>
    <w:rsid w:val="004A163B"/>
    <w:rsid w:val="004C5AE7"/>
    <w:rsid w:val="00500EAD"/>
    <w:rsid w:val="005824CE"/>
    <w:rsid w:val="005969AB"/>
    <w:rsid w:val="00662070"/>
    <w:rsid w:val="00673042"/>
    <w:rsid w:val="00714012"/>
    <w:rsid w:val="007D78BB"/>
    <w:rsid w:val="007E5D66"/>
    <w:rsid w:val="00820B82"/>
    <w:rsid w:val="00886159"/>
    <w:rsid w:val="008F51AE"/>
    <w:rsid w:val="009D157A"/>
    <w:rsid w:val="00A81A1D"/>
    <w:rsid w:val="00B737FF"/>
    <w:rsid w:val="00CC53C6"/>
    <w:rsid w:val="00DE6BAA"/>
    <w:rsid w:val="00E11F8A"/>
    <w:rsid w:val="00F20E0B"/>
    <w:rsid w:val="00F2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7540"/>
  <w15:chartTrackingRefBased/>
  <w15:docId w15:val="{C9F8332C-3B89-46AA-9089-D4201F98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Sanjida Humayun</dc:creator>
  <cp:keywords/>
  <dc:description/>
  <cp:lastModifiedBy>Sanjida Humayun</cp:lastModifiedBy>
  <cp:revision>13</cp:revision>
  <dcterms:created xsi:type="dcterms:W3CDTF">2024-10-07T08:56:00Z</dcterms:created>
  <dcterms:modified xsi:type="dcterms:W3CDTF">2024-12-31T16:17:00Z</dcterms:modified>
</cp:coreProperties>
</file>