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D4352" w14:textId="51D517BB" w:rsidR="00B46F12" w:rsidRPr="00B32149" w:rsidRDefault="00B46F12" w:rsidP="00B46F12">
      <w:pPr>
        <w:ind w:firstLine="0"/>
        <w:rPr>
          <w:rFonts w:ascii="Arial" w:hAnsi="Arial" w:cs="Arial"/>
          <w:b/>
          <w:bCs/>
          <w:sz w:val="32"/>
          <w:szCs w:val="32"/>
        </w:rPr>
      </w:pPr>
      <w:r w:rsidRPr="00B32149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Oral presentation abstract</w:t>
      </w:r>
      <w:r w:rsidRPr="00B32149">
        <w:rPr>
          <w:rFonts w:ascii="Arial" w:hAnsi="Arial" w:cs="Arial"/>
          <w:b/>
          <w:bCs/>
          <w:sz w:val="32"/>
          <w:szCs w:val="32"/>
        </w:rPr>
        <w:t xml:space="preserve">: Sodium alginate – a promising material for the encapsulation of next-generation probiotics </w:t>
      </w:r>
    </w:p>
    <w:p w14:paraId="6CBC4DE5" w14:textId="11562428" w:rsidR="00B46F12" w:rsidRPr="00B32149" w:rsidRDefault="00B46F12" w:rsidP="00B46F12">
      <w:pPr>
        <w:ind w:firstLine="0"/>
        <w:rPr>
          <w:rFonts w:ascii="Arial" w:hAnsi="Arial" w:cs="Arial"/>
          <w:sz w:val="22"/>
          <w:szCs w:val="22"/>
        </w:rPr>
      </w:pPr>
      <w:r w:rsidRPr="00B32149">
        <w:rPr>
          <w:rFonts w:ascii="Arial" w:hAnsi="Arial" w:cs="Arial"/>
          <w:sz w:val="22"/>
          <w:szCs w:val="22"/>
        </w:rPr>
        <w:t xml:space="preserve">Thị-Thanh-Trúc PHÙNG*, Hải Ngân ĐINH*, </w:t>
      </w:r>
      <w:proofErr w:type="spellStart"/>
      <w:r w:rsidRPr="00B32149">
        <w:rPr>
          <w:rFonts w:ascii="Arial" w:hAnsi="Arial" w:cs="Arial"/>
          <w:sz w:val="22"/>
          <w:szCs w:val="22"/>
        </w:rPr>
        <w:t>Bonastre</w:t>
      </w:r>
      <w:proofErr w:type="spellEnd"/>
      <w:r w:rsidRPr="00B32149">
        <w:rPr>
          <w:rFonts w:ascii="Arial" w:hAnsi="Arial" w:cs="Arial"/>
          <w:sz w:val="22"/>
          <w:szCs w:val="22"/>
        </w:rPr>
        <w:t xml:space="preserve"> OLIETE*, Thomas KARBOWIAK*</w:t>
      </w:r>
    </w:p>
    <w:p w14:paraId="0F05315F" w14:textId="77777777" w:rsidR="00B46F12" w:rsidRPr="00B32149" w:rsidRDefault="00B46F12" w:rsidP="00B46F12">
      <w:pPr>
        <w:ind w:firstLine="0"/>
        <w:rPr>
          <w:rFonts w:ascii="Arial" w:hAnsi="Arial" w:cs="Arial"/>
          <w:sz w:val="22"/>
          <w:szCs w:val="22"/>
          <w:lang w:val="fr-FR"/>
        </w:rPr>
      </w:pPr>
      <w:r w:rsidRPr="00B32149">
        <w:rPr>
          <w:rFonts w:ascii="Arial" w:hAnsi="Arial" w:cs="Arial"/>
          <w:sz w:val="22"/>
          <w:szCs w:val="22"/>
          <w:lang w:val="fr-FR"/>
        </w:rPr>
        <w:t>*</w:t>
      </w:r>
      <w:r w:rsidRPr="00B32149">
        <w:rPr>
          <w:rStyle w:val="Fuentedeprrafopredeter"/>
          <w:rFonts w:ascii="Arial" w:hAnsi="Arial" w:cs="Arial"/>
          <w:bCs/>
          <w:color w:val="000000"/>
          <w:sz w:val="22"/>
          <w:szCs w:val="22"/>
          <w:lang w:val="fr-FR"/>
        </w:rPr>
        <w:t xml:space="preserve">Institut Agro, Université de Bourgogne, </w:t>
      </w:r>
      <w:proofErr w:type="spellStart"/>
      <w:r w:rsidRPr="00B32149">
        <w:rPr>
          <w:rStyle w:val="Fuentedeprrafopredeter"/>
          <w:rFonts w:ascii="Arial" w:hAnsi="Arial" w:cs="Arial"/>
          <w:bCs/>
          <w:color w:val="000000"/>
          <w:sz w:val="22"/>
          <w:szCs w:val="22"/>
          <w:lang w:val="fr-FR"/>
        </w:rPr>
        <w:t>INRAe</w:t>
      </w:r>
      <w:proofErr w:type="spellEnd"/>
      <w:r w:rsidRPr="00B32149">
        <w:rPr>
          <w:rStyle w:val="Fuentedeprrafopredeter"/>
          <w:rFonts w:ascii="Arial" w:hAnsi="Arial" w:cs="Arial"/>
          <w:bCs/>
          <w:color w:val="000000"/>
          <w:sz w:val="22"/>
          <w:szCs w:val="22"/>
          <w:lang w:val="fr-FR"/>
        </w:rPr>
        <w:t>, UMR PAM 1517, 1 Esplanade Erasme, 21000 Dijon, France</w:t>
      </w:r>
    </w:p>
    <w:p w14:paraId="4E8AF706" w14:textId="77BD33DF" w:rsidR="00B46F12" w:rsidRPr="00B32149" w:rsidRDefault="00B46F12" w:rsidP="00B46F12">
      <w:pPr>
        <w:spacing w:after="160"/>
        <w:ind w:firstLine="0"/>
        <w:rPr>
          <w:rFonts w:ascii="Arial" w:hAnsi="Arial" w:cs="Arial"/>
          <w:sz w:val="22"/>
          <w:szCs w:val="22"/>
        </w:rPr>
      </w:pPr>
      <w:r w:rsidRPr="00B32149">
        <w:rPr>
          <w:rFonts w:ascii="Arial" w:hAnsi="Arial" w:cs="Arial"/>
          <w:sz w:val="22"/>
          <w:szCs w:val="22"/>
        </w:rPr>
        <w:t xml:space="preserve">The next-generation probiotics (NGPs) have appeared in recent years with an abundance of significant therapeutic potential. However, some of these strains have been identified to be extremely oxygen-sensitive (EOS), which leads to various challenges for their production, processing, storage, and colonic delivery. Sodium alginate (SA) has appeared as a promising encapsulating material for EOS probiotics using ionotropic gelation with calcium ions. It confers excellent oxygen barrier properties as well as optimal release </w:t>
      </w:r>
      <w:proofErr w:type="spellStart"/>
      <w:r w:rsidRPr="00B32149">
        <w:rPr>
          <w:rFonts w:ascii="Arial" w:hAnsi="Arial" w:cs="Arial"/>
          <w:sz w:val="22"/>
          <w:szCs w:val="22"/>
        </w:rPr>
        <w:t>behavior</w:t>
      </w:r>
      <w:proofErr w:type="spellEnd"/>
      <w:r w:rsidRPr="00B32149">
        <w:rPr>
          <w:rFonts w:ascii="Arial" w:hAnsi="Arial" w:cs="Arial"/>
          <w:sz w:val="22"/>
          <w:szCs w:val="22"/>
        </w:rPr>
        <w:t xml:space="preserve"> in simulated gastrointestinal fluid (SGF). The present study comprehensively examines the effects of SA structural characteristics, molecular weight (MW), and Mannuronic/Guluronic (M/G) ratio on its functional properties as an encapsulating material for the protection and controlled release of </w:t>
      </w:r>
      <w:r w:rsidRPr="00B32149">
        <w:rPr>
          <w:rFonts w:ascii="Arial" w:hAnsi="Arial" w:cs="Arial"/>
          <w:sz w:val="22"/>
          <w:szCs w:val="22"/>
          <w:lang w:val="en-US"/>
        </w:rPr>
        <w:t xml:space="preserve">3 </w:t>
      </w:r>
      <w:r w:rsidRPr="00B32149">
        <w:rPr>
          <w:rFonts w:ascii="Arial" w:hAnsi="Arial" w:cs="Arial"/>
          <w:sz w:val="22"/>
          <w:szCs w:val="22"/>
        </w:rPr>
        <w:t xml:space="preserve">NGP strains including </w:t>
      </w:r>
      <w:proofErr w:type="spellStart"/>
      <w:r w:rsidRPr="00B32149">
        <w:rPr>
          <w:rFonts w:ascii="Arial" w:hAnsi="Arial" w:cs="Arial"/>
          <w:i/>
          <w:iCs/>
          <w:sz w:val="22"/>
          <w:szCs w:val="22"/>
        </w:rPr>
        <w:t>Lactiplantibacillus</w:t>
      </w:r>
      <w:proofErr w:type="spellEnd"/>
      <w:r w:rsidRPr="00B32149">
        <w:rPr>
          <w:rFonts w:ascii="Arial" w:hAnsi="Arial" w:cs="Arial"/>
          <w:i/>
          <w:iCs/>
          <w:sz w:val="22"/>
          <w:szCs w:val="22"/>
        </w:rPr>
        <w:t xml:space="preserve"> plantarum</w:t>
      </w:r>
      <w:r w:rsidRPr="00B32149">
        <w:rPr>
          <w:rFonts w:ascii="Arial" w:hAnsi="Arial" w:cs="Arial"/>
          <w:sz w:val="22"/>
          <w:szCs w:val="22"/>
        </w:rPr>
        <w:t xml:space="preserve">, </w:t>
      </w:r>
      <w:r w:rsidRPr="00B32149">
        <w:rPr>
          <w:rFonts w:ascii="Arial" w:hAnsi="Arial" w:cs="Arial"/>
          <w:i/>
          <w:iCs/>
          <w:sz w:val="22"/>
          <w:szCs w:val="22"/>
        </w:rPr>
        <w:t>Bifidobacterium longum</w:t>
      </w:r>
      <w:r w:rsidRPr="00B32149">
        <w:rPr>
          <w:rFonts w:ascii="Arial" w:hAnsi="Arial" w:cs="Arial"/>
          <w:sz w:val="22"/>
          <w:szCs w:val="22"/>
        </w:rPr>
        <w:t xml:space="preserve"> subsp. </w:t>
      </w:r>
      <w:proofErr w:type="spellStart"/>
      <w:r w:rsidRPr="00B32149">
        <w:rPr>
          <w:rFonts w:ascii="Arial" w:hAnsi="Arial" w:cs="Arial"/>
          <w:i/>
          <w:iCs/>
          <w:sz w:val="22"/>
          <w:szCs w:val="22"/>
        </w:rPr>
        <w:t>infantis</w:t>
      </w:r>
      <w:proofErr w:type="spellEnd"/>
      <w:r w:rsidRPr="00B32149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B32149">
        <w:rPr>
          <w:rFonts w:ascii="Arial" w:hAnsi="Arial" w:cs="Arial"/>
          <w:i/>
          <w:iCs/>
          <w:sz w:val="22"/>
          <w:szCs w:val="22"/>
        </w:rPr>
        <w:t>Faecalibacterium</w:t>
      </w:r>
      <w:proofErr w:type="spellEnd"/>
      <w:r w:rsidRPr="00B32149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32149">
        <w:rPr>
          <w:rFonts w:ascii="Arial" w:hAnsi="Arial" w:cs="Arial"/>
          <w:i/>
          <w:iCs/>
          <w:sz w:val="22"/>
          <w:szCs w:val="22"/>
        </w:rPr>
        <w:t>duncaniae</w:t>
      </w:r>
      <w:proofErr w:type="spellEnd"/>
      <w:r w:rsidRPr="00B32149">
        <w:rPr>
          <w:rFonts w:ascii="Arial" w:hAnsi="Arial" w:cs="Arial"/>
          <w:sz w:val="22"/>
          <w:szCs w:val="22"/>
        </w:rPr>
        <w:t xml:space="preserve"> (EOS strain). </w:t>
      </w:r>
    </w:p>
    <w:p w14:paraId="443378D9" w14:textId="77777777" w:rsidR="00B46F12" w:rsidRPr="00B32149" w:rsidRDefault="00B46F12" w:rsidP="00B46F12">
      <w:pPr>
        <w:spacing w:after="160"/>
        <w:ind w:firstLine="0"/>
        <w:rPr>
          <w:rFonts w:ascii="Arial" w:hAnsi="Arial" w:cs="Arial"/>
          <w:sz w:val="22"/>
          <w:szCs w:val="22"/>
        </w:rPr>
      </w:pPr>
      <w:r w:rsidRPr="00B32149">
        <w:rPr>
          <w:rFonts w:ascii="Arial" w:hAnsi="Arial" w:cs="Arial"/>
          <w:sz w:val="22"/>
          <w:szCs w:val="22"/>
        </w:rPr>
        <w:t xml:space="preserve">The results show that the rheological properties of SA are notably influenced by molecular weight but not by the M/G ratio. Autoclaving SA powder significantly reduces the viscosity of SA solution. However, the MW and M/G ratio do not affect the oxygen barrier properties of SA films. Although cross-linking with divalent cations slightly increases oxygen permeance, this still provides a high protection level for encapsulated microorganisms. High MW and low M/G ratio SA beads form stronger gels due to effective crosslinking of the G blocks with divalent cations. The M/G ratio affects SA bead swelling, beads with a high ratio of M blocks display higher swelling in SGF than those with a high ratio of G blocks. The MW determines solubility, beads with low MW dissolved in SGF after 4 hours. SA with low MW and high M/G ratio appears as optimal for swelling, solubility, and probiotic release. Although viability tests showed that pure SA does not protect enough probiotics in SGF, adding sodium carbonate and L-cysteine to the polymer matrix preserves </w:t>
      </w:r>
      <w:r w:rsidRPr="00B32149">
        <w:rPr>
          <w:rFonts w:ascii="Arial" w:hAnsi="Arial" w:cs="Arial"/>
          <w:i/>
          <w:iCs/>
          <w:sz w:val="22"/>
          <w:szCs w:val="22"/>
        </w:rPr>
        <w:t xml:space="preserve">F. </w:t>
      </w:r>
      <w:proofErr w:type="spellStart"/>
      <w:r w:rsidRPr="00B32149">
        <w:rPr>
          <w:rFonts w:ascii="Arial" w:hAnsi="Arial" w:cs="Arial"/>
          <w:i/>
          <w:iCs/>
          <w:sz w:val="22"/>
          <w:szCs w:val="22"/>
        </w:rPr>
        <w:t>duncaniae</w:t>
      </w:r>
      <w:proofErr w:type="spellEnd"/>
      <w:r w:rsidRPr="00B32149">
        <w:rPr>
          <w:rFonts w:ascii="Arial" w:hAnsi="Arial" w:cs="Arial"/>
          <w:sz w:val="22"/>
          <w:szCs w:val="22"/>
        </w:rPr>
        <w:t xml:space="preserve"> viability up to 6 logs CFU∙mL</w:t>
      </w:r>
      <w:r w:rsidRPr="00B32149">
        <w:rPr>
          <w:rFonts w:ascii="Arial" w:hAnsi="Arial" w:cs="Arial"/>
          <w:sz w:val="22"/>
          <w:szCs w:val="22"/>
          <w:vertAlign w:val="superscript"/>
        </w:rPr>
        <w:t xml:space="preserve">-1 </w:t>
      </w:r>
      <w:r w:rsidRPr="00B32149">
        <w:rPr>
          <w:rFonts w:ascii="Arial" w:hAnsi="Arial" w:cs="Arial"/>
          <w:sz w:val="22"/>
          <w:szCs w:val="22"/>
        </w:rPr>
        <w:t>after exposure to SGF.</w:t>
      </w:r>
    </w:p>
    <w:p w14:paraId="5476E1E8" w14:textId="30B5C915" w:rsidR="006347BE" w:rsidRDefault="00B46F12" w:rsidP="00B46F12">
      <w:pPr>
        <w:spacing w:after="160"/>
        <w:ind w:firstLine="0"/>
        <w:rPr>
          <w:rFonts w:ascii="Arial" w:hAnsi="Arial" w:cs="Arial"/>
          <w:sz w:val="22"/>
          <w:szCs w:val="22"/>
        </w:rPr>
      </w:pPr>
      <w:r w:rsidRPr="00B32149">
        <w:rPr>
          <w:rFonts w:ascii="Arial" w:hAnsi="Arial" w:cs="Arial"/>
          <w:b/>
          <w:bCs/>
          <w:i/>
          <w:iCs/>
          <w:color w:val="156082"/>
          <w:sz w:val="22"/>
          <w:szCs w:val="22"/>
          <w:u w:val="single"/>
        </w:rPr>
        <w:t>Keywords:</w:t>
      </w:r>
      <w:r w:rsidRPr="00B32149">
        <w:rPr>
          <w:rFonts w:ascii="Arial" w:hAnsi="Arial" w:cs="Arial"/>
          <w:b/>
          <w:bCs/>
          <w:color w:val="156082"/>
          <w:sz w:val="22"/>
          <w:szCs w:val="22"/>
        </w:rPr>
        <w:t xml:space="preserve"> </w:t>
      </w:r>
      <w:r w:rsidRPr="00B32149">
        <w:rPr>
          <w:rFonts w:ascii="Arial" w:hAnsi="Arial" w:cs="Arial"/>
          <w:sz w:val="22"/>
          <w:szCs w:val="22"/>
        </w:rPr>
        <w:t>Sodium alginate, functional properties, probiotic encapsulation, next-generation probiotics, gastrointestinal tract, colonic delivery.</w:t>
      </w:r>
    </w:p>
    <w:p w14:paraId="7AC65A88" w14:textId="1BCC93E3" w:rsidR="00B32149" w:rsidRPr="00B32149" w:rsidRDefault="00B32149" w:rsidP="00B46F12">
      <w:pPr>
        <w:spacing w:after="160"/>
        <w:ind w:firstLine="0"/>
        <w:rPr>
          <w:rFonts w:ascii="Arial" w:hAnsi="Arial" w:cs="Arial"/>
          <w:sz w:val="20"/>
          <w:szCs w:val="20"/>
        </w:rPr>
      </w:pPr>
      <w:r w:rsidRPr="00B32149">
        <w:rPr>
          <w:rFonts w:ascii="Arial" w:hAnsi="Arial" w:cs="Arial"/>
          <w:sz w:val="20"/>
          <w:szCs w:val="20"/>
        </w:rPr>
        <w:t>Reference:</w:t>
      </w:r>
    </w:p>
    <w:sdt>
      <w:sdtPr>
        <w:rPr>
          <w:rFonts w:ascii="Arial" w:hAnsi="Arial" w:cs="Arial"/>
          <w:color w:val="000000"/>
          <w:sz w:val="20"/>
          <w:szCs w:val="20"/>
        </w:rPr>
        <w:tag w:val="MENDELEY_BIBLIOGRAPHY"/>
        <w:id w:val="71162918"/>
        <w:placeholder>
          <w:docPart w:val="DefaultPlaceholder_-1854013440"/>
        </w:placeholder>
      </w:sdtPr>
      <w:sdtContent>
        <w:p w14:paraId="7868BEAF" w14:textId="77777777" w:rsidR="00B32149" w:rsidRPr="00B32149" w:rsidRDefault="00B32149">
          <w:pPr>
            <w:autoSpaceDE w:val="0"/>
            <w:autoSpaceDN w:val="0"/>
            <w:ind w:hanging="480"/>
            <w:divId w:val="170067449"/>
            <w:rPr>
              <w:rFonts w:ascii="Arial" w:eastAsia="Times New Roman" w:hAnsi="Arial" w:cs="Arial"/>
              <w:color w:val="000000"/>
              <w:sz w:val="20"/>
              <w:szCs w:val="20"/>
            </w:rPr>
          </w:pPr>
          <w:r w:rsidRPr="00B32149">
            <w:rPr>
              <w:rFonts w:ascii="Arial" w:eastAsia="Times New Roman" w:hAnsi="Arial" w:cs="Arial"/>
              <w:color w:val="000000"/>
              <w:sz w:val="20"/>
              <w:szCs w:val="20"/>
            </w:rPr>
            <w:t xml:space="preserve">Phùng, T.-T.-T., Đinh, H.-N., Ureña, M., </w:t>
          </w:r>
          <w:proofErr w:type="spellStart"/>
          <w:r w:rsidRPr="00B32149">
            <w:rPr>
              <w:rFonts w:ascii="Arial" w:eastAsia="Times New Roman" w:hAnsi="Arial" w:cs="Arial"/>
              <w:color w:val="000000"/>
              <w:sz w:val="20"/>
              <w:szCs w:val="20"/>
            </w:rPr>
            <w:t>Oliete</w:t>
          </w:r>
          <w:proofErr w:type="spellEnd"/>
          <w:r w:rsidRPr="00B32149">
            <w:rPr>
              <w:rFonts w:ascii="Arial" w:eastAsia="Times New Roman" w:hAnsi="Arial" w:cs="Arial"/>
              <w:color w:val="000000"/>
              <w:sz w:val="20"/>
              <w:szCs w:val="20"/>
            </w:rPr>
            <w:t xml:space="preserve">, B., </w:t>
          </w:r>
          <w:proofErr w:type="spellStart"/>
          <w:r w:rsidRPr="00B32149">
            <w:rPr>
              <w:rFonts w:ascii="Arial" w:eastAsia="Times New Roman" w:hAnsi="Arial" w:cs="Arial"/>
              <w:color w:val="000000"/>
              <w:sz w:val="20"/>
              <w:szCs w:val="20"/>
            </w:rPr>
            <w:t>Denimal</w:t>
          </w:r>
          <w:proofErr w:type="spellEnd"/>
          <w:r w:rsidRPr="00B32149">
            <w:rPr>
              <w:rFonts w:ascii="Arial" w:eastAsia="Times New Roman" w:hAnsi="Arial" w:cs="Arial"/>
              <w:color w:val="000000"/>
              <w:sz w:val="20"/>
              <w:szCs w:val="20"/>
            </w:rPr>
            <w:t xml:space="preserve">, E., Dupont, S., </w:t>
          </w:r>
          <w:proofErr w:type="spellStart"/>
          <w:r w:rsidRPr="00B32149">
            <w:rPr>
              <w:rFonts w:ascii="Arial" w:eastAsia="Times New Roman" w:hAnsi="Arial" w:cs="Arial"/>
              <w:color w:val="000000"/>
              <w:sz w:val="20"/>
              <w:szCs w:val="20"/>
            </w:rPr>
            <w:t>Beney</w:t>
          </w:r>
          <w:proofErr w:type="spellEnd"/>
          <w:r w:rsidRPr="00B32149">
            <w:rPr>
              <w:rFonts w:ascii="Arial" w:eastAsia="Times New Roman" w:hAnsi="Arial" w:cs="Arial"/>
              <w:color w:val="000000"/>
              <w:sz w:val="20"/>
              <w:szCs w:val="20"/>
            </w:rPr>
            <w:t xml:space="preserve">, L., &amp; Karbowiak, T. (2024). Sodium Alginate as a promising encapsulating material for extremely-oxygen sensitive probiotics. </w:t>
          </w:r>
          <w:r w:rsidRPr="00B32149">
            <w:rPr>
              <w:rFonts w:ascii="Arial" w:eastAsia="Times New Roman" w:hAnsi="Arial" w:cs="Arial"/>
              <w:i/>
              <w:iCs/>
              <w:color w:val="000000"/>
              <w:sz w:val="20"/>
              <w:szCs w:val="20"/>
            </w:rPr>
            <w:t>Food Hydrocolloids</w:t>
          </w:r>
          <w:r w:rsidRPr="00B32149">
            <w:rPr>
              <w:rFonts w:ascii="Arial" w:eastAsia="Times New Roman" w:hAnsi="Arial" w:cs="Arial"/>
              <w:color w:val="000000"/>
              <w:sz w:val="20"/>
              <w:szCs w:val="20"/>
            </w:rPr>
            <w:t>, 110857. https://doi.org/10.1016/J.FOODHYD.2024.110857</w:t>
          </w:r>
        </w:p>
        <w:p w14:paraId="0B6439C5" w14:textId="65682E04" w:rsidR="00B32149" w:rsidRPr="00B32149" w:rsidRDefault="00B32149" w:rsidP="00B46F12">
          <w:pPr>
            <w:spacing w:after="160"/>
            <w:ind w:firstLine="0"/>
            <w:rPr>
              <w:rFonts w:ascii="Arial" w:hAnsi="Arial" w:cs="Arial"/>
              <w:sz w:val="20"/>
              <w:szCs w:val="20"/>
            </w:rPr>
          </w:pPr>
          <w:r w:rsidRPr="00B32149">
            <w:rPr>
              <w:rFonts w:ascii="Arial" w:eastAsia="Times New Roman" w:hAnsi="Arial" w:cs="Arial"/>
              <w:color w:val="000000"/>
              <w:sz w:val="20"/>
              <w:szCs w:val="20"/>
            </w:rPr>
            <w:t> </w:t>
          </w:r>
        </w:p>
      </w:sdtContent>
    </w:sdt>
    <w:sectPr w:rsidR="00B32149" w:rsidRPr="00B32149" w:rsidSect="00AB163D">
      <w:pgSz w:w="12240" w:h="15840"/>
      <w:pgMar w:top="1411" w:right="1411" w:bottom="141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F12"/>
    <w:rsid w:val="00180B82"/>
    <w:rsid w:val="001A2104"/>
    <w:rsid w:val="004338E2"/>
    <w:rsid w:val="006347BE"/>
    <w:rsid w:val="00AB163D"/>
    <w:rsid w:val="00B32149"/>
    <w:rsid w:val="00B46F12"/>
    <w:rsid w:val="00D7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007DA1"/>
  <w15:chartTrackingRefBased/>
  <w15:docId w15:val="{AB4D09BF-BB56-4E21-9DB4-729DFEAB6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F12"/>
    <w:pPr>
      <w:spacing w:after="0" w:line="360" w:lineRule="auto"/>
      <w:ind w:firstLine="284"/>
      <w:jc w:val="both"/>
    </w:pPr>
    <w:rPr>
      <w:rFonts w:ascii="Times New Roman" w:eastAsiaTheme="minorEastAsia" w:hAnsi="Times New Roman" w:cs="Times New Roman"/>
      <w:kern w:val="0"/>
      <w:lang w:val="en-GB"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6F12"/>
    <w:pPr>
      <w:keepNext/>
      <w:keepLines/>
      <w:spacing w:before="360" w:after="80" w:line="278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6F12"/>
    <w:pPr>
      <w:keepNext/>
      <w:keepLines/>
      <w:spacing w:before="160" w:after="80" w:line="278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6F12"/>
    <w:pPr>
      <w:keepNext/>
      <w:keepLines/>
      <w:spacing w:before="160" w:after="80" w:line="278" w:lineRule="auto"/>
      <w:ind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6F12"/>
    <w:pPr>
      <w:keepNext/>
      <w:keepLines/>
      <w:spacing w:before="80" w:after="40" w:line="278" w:lineRule="auto"/>
      <w:ind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6F12"/>
    <w:pPr>
      <w:keepNext/>
      <w:keepLines/>
      <w:spacing w:before="80" w:after="40" w:line="278" w:lineRule="auto"/>
      <w:ind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6F12"/>
    <w:pPr>
      <w:keepNext/>
      <w:keepLines/>
      <w:spacing w:before="40" w:line="278" w:lineRule="auto"/>
      <w:ind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6F12"/>
    <w:pPr>
      <w:keepNext/>
      <w:keepLines/>
      <w:spacing w:before="40" w:line="278" w:lineRule="auto"/>
      <w:ind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6F12"/>
    <w:pPr>
      <w:keepNext/>
      <w:keepLines/>
      <w:spacing w:line="278" w:lineRule="auto"/>
      <w:ind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6F12"/>
    <w:pPr>
      <w:keepNext/>
      <w:keepLines/>
      <w:spacing w:line="278" w:lineRule="auto"/>
      <w:ind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6F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6F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6F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6F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6F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6F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6F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6F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6F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6F12"/>
    <w:pPr>
      <w:spacing w:after="80" w:line="240" w:lineRule="auto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46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6F12"/>
    <w:pPr>
      <w:numPr>
        <w:ilvl w:val="1"/>
      </w:numPr>
      <w:spacing w:after="160" w:line="278" w:lineRule="auto"/>
      <w:ind w:firstLine="284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46F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6F12"/>
    <w:pPr>
      <w:spacing w:before="160" w:after="160" w:line="278" w:lineRule="auto"/>
      <w:ind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46F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6F12"/>
    <w:pPr>
      <w:spacing w:after="160" w:line="278" w:lineRule="auto"/>
      <w:ind w:left="720" w:firstLine="0"/>
      <w:contextualSpacing/>
      <w:jc w:val="left"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46F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6F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6F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6F12"/>
    <w:rPr>
      <w:b/>
      <w:bCs/>
      <w:smallCaps/>
      <w:color w:val="0F4761" w:themeColor="accent1" w:themeShade="BF"/>
      <w:spacing w:val="5"/>
    </w:rPr>
  </w:style>
  <w:style w:type="character" w:customStyle="1" w:styleId="Fuentedeprrafopredeter">
    <w:name w:val="Fuentedepárrafopredeter."/>
    <w:rsid w:val="00B46F12"/>
  </w:style>
  <w:style w:type="character" w:styleId="PlaceholderText">
    <w:name w:val="Placeholder Text"/>
    <w:basedOn w:val="DefaultParagraphFont"/>
    <w:uiPriority w:val="99"/>
    <w:semiHidden/>
    <w:rsid w:val="00B3214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2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74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105BC-9090-490A-B084-6A065779DC82}"/>
      </w:docPartPr>
      <w:docPartBody>
        <w:p w:rsidR="00000000" w:rsidRDefault="00D438BB">
          <w:r w:rsidRPr="00E6153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BB"/>
    <w:rsid w:val="00851508"/>
    <w:rsid w:val="00D438BB"/>
    <w:rsid w:val="00D7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38B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8147E53-B0D7-453D-8AE0-96167335F271}">
  <we:reference id="f78a3046-9e99-4300-aa2b-5814002b01a2" version="1.55.1.0" store="EXCatalog" storeType="EXCatalog"/>
  <we:alternateReferences>
    <we:reference id="WA104382081" version="1.55.1.0" store="fr-FR" storeType="OMEX"/>
  </we:alternateReferences>
  <we:properties>
    <we:property name="MENDELEY_CITATIONS" value="[]"/>
    <we:property name="MENDELEY_CITATIONS_STYLE" value="{&quot;id&quot;:&quot;https://www.zotero.org/styles/apa&quot;,&quot;title&quot;:&quot;American Psychological Association 7th edition&quot;,&quot;format&quot;:&quot;author-date&quot;,&quot;defaultLocale&quot;:null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06A23-DCC0-494A-AB6A-86F650373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2433</Characters>
  <Application>Microsoft Office Word</Application>
  <DocSecurity>0</DocSecurity>
  <Lines>35</Lines>
  <Paragraphs>8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Trúc Phùng</dc:creator>
  <cp:keywords/>
  <dc:description/>
  <cp:lastModifiedBy>Trúc Phùng</cp:lastModifiedBy>
  <cp:revision>2</cp:revision>
  <dcterms:created xsi:type="dcterms:W3CDTF">2024-12-19T16:59:00Z</dcterms:created>
  <dcterms:modified xsi:type="dcterms:W3CDTF">2024-12-21T20:51:00Z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332bfac8-5ef8-4c0d-8d20-742c4a4e52df</vt:lpwstr>
  </property>
</Properties>
</file>