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7" w:rsidRPr="00C43F96" w:rsidRDefault="00A155B2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C43F96">
        <w:rPr>
          <w:rFonts w:ascii="Arial" w:hAnsi="Arial" w:cs="Arial"/>
          <w:b/>
          <w:bCs/>
          <w:sz w:val="32"/>
          <w:szCs w:val="32"/>
          <w:lang w:val="en-US"/>
        </w:rPr>
        <w:t>The active performance of gallic acid-incorporated chitosan films</w:t>
      </w:r>
    </w:p>
    <w:p w:rsidR="00DB5DA7" w:rsidRPr="00C43F96" w:rsidRDefault="00DB5DA7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DB5DA7" w:rsidRPr="00954197" w:rsidRDefault="00954197" w:rsidP="00954197">
      <w:pPr>
        <w:jc w:val="both"/>
        <w:rPr>
          <w:sz w:val="24"/>
          <w:szCs w:val="24"/>
          <w:lang w:val="es-ES"/>
        </w:rPr>
      </w:pPr>
      <w:r w:rsidRPr="00954197">
        <w:rPr>
          <w:sz w:val="24"/>
          <w:szCs w:val="24"/>
          <w:lang w:val="es-ES"/>
        </w:rPr>
        <w:t>I. Zarandona</w:t>
      </w:r>
      <w:r w:rsidR="00DB5DA7" w:rsidRPr="00954197">
        <w:rPr>
          <w:sz w:val="24"/>
          <w:szCs w:val="24"/>
          <w:vertAlign w:val="superscript"/>
          <w:lang w:val="es-ES"/>
        </w:rPr>
        <w:t>1</w:t>
      </w:r>
      <w:r w:rsidR="00DB5DA7" w:rsidRPr="00954197">
        <w:rPr>
          <w:sz w:val="24"/>
          <w:szCs w:val="24"/>
          <w:lang w:val="es-ES"/>
        </w:rPr>
        <w:t xml:space="preserve">, </w:t>
      </w:r>
      <w:r w:rsidRPr="00954197">
        <w:rPr>
          <w:sz w:val="24"/>
          <w:szCs w:val="24"/>
          <w:lang w:val="es-ES"/>
        </w:rPr>
        <w:t>A. I. Puertas</w:t>
      </w:r>
      <w:r w:rsidRPr="00954197">
        <w:rPr>
          <w:sz w:val="24"/>
          <w:szCs w:val="24"/>
          <w:vertAlign w:val="superscript"/>
          <w:lang w:val="es-ES"/>
        </w:rPr>
        <w:t>2</w:t>
      </w:r>
      <w:r w:rsidR="00DB5DA7" w:rsidRPr="00954197">
        <w:rPr>
          <w:sz w:val="24"/>
          <w:szCs w:val="24"/>
          <w:lang w:val="es-ES"/>
        </w:rPr>
        <w:t xml:space="preserve">, </w:t>
      </w:r>
      <w:r w:rsidRPr="00954197">
        <w:rPr>
          <w:sz w:val="24"/>
          <w:szCs w:val="24"/>
          <w:lang w:val="es-ES"/>
        </w:rPr>
        <w:t>M. T. Dueñas</w:t>
      </w:r>
      <w:r w:rsidR="00DB5DA7" w:rsidRPr="00954197">
        <w:rPr>
          <w:sz w:val="24"/>
          <w:szCs w:val="24"/>
          <w:vertAlign w:val="superscript"/>
          <w:lang w:val="es-ES"/>
        </w:rPr>
        <w:t>2</w:t>
      </w:r>
      <w:r w:rsidRPr="00954197">
        <w:rPr>
          <w:sz w:val="24"/>
          <w:szCs w:val="24"/>
          <w:lang w:val="es-ES"/>
        </w:rPr>
        <w:t>, P. G</w:t>
      </w:r>
      <w:r>
        <w:rPr>
          <w:sz w:val="24"/>
          <w:szCs w:val="24"/>
          <w:lang w:val="es-ES"/>
        </w:rPr>
        <w:t>uerrero</w:t>
      </w:r>
      <w:r>
        <w:rPr>
          <w:sz w:val="24"/>
          <w:szCs w:val="24"/>
          <w:vertAlign w:val="superscript"/>
          <w:lang w:val="es-ES"/>
        </w:rPr>
        <w:t>1</w:t>
      </w:r>
      <w:r w:rsidR="00DB5DA7" w:rsidRPr="00954197">
        <w:rPr>
          <w:sz w:val="24"/>
          <w:szCs w:val="24"/>
          <w:lang w:val="es-ES"/>
        </w:rPr>
        <w:t xml:space="preserve"> and </w:t>
      </w:r>
      <w:r>
        <w:rPr>
          <w:sz w:val="24"/>
          <w:szCs w:val="24"/>
          <w:lang w:val="es-ES"/>
        </w:rPr>
        <w:t>K. de la Caba</w:t>
      </w:r>
      <w:r>
        <w:rPr>
          <w:sz w:val="24"/>
          <w:szCs w:val="24"/>
          <w:vertAlign w:val="superscript"/>
          <w:lang w:val="es-ES"/>
        </w:rPr>
        <w:t>1</w:t>
      </w:r>
    </w:p>
    <w:p w:rsidR="00DB5DA7" w:rsidRPr="00954197" w:rsidRDefault="00DB5DA7">
      <w:pPr>
        <w:jc w:val="both"/>
        <w:rPr>
          <w:sz w:val="24"/>
          <w:szCs w:val="24"/>
          <w:lang w:val="es-ES"/>
        </w:rPr>
      </w:pPr>
    </w:p>
    <w:p w:rsidR="00DB5DA7" w:rsidRPr="00954197" w:rsidRDefault="00DB5DA7">
      <w:pPr>
        <w:jc w:val="both"/>
        <w:rPr>
          <w:i/>
          <w:iCs/>
          <w:sz w:val="24"/>
          <w:szCs w:val="24"/>
          <w:lang w:val="es-ES"/>
        </w:rPr>
      </w:pPr>
      <w:r w:rsidRPr="00954197">
        <w:rPr>
          <w:i/>
          <w:iCs/>
          <w:sz w:val="24"/>
          <w:szCs w:val="24"/>
          <w:vertAlign w:val="superscript"/>
          <w:lang w:val="es-ES"/>
        </w:rPr>
        <w:t>1</w:t>
      </w:r>
      <w:r w:rsidR="00954197" w:rsidRPr="00954197">
        <w:rPr>
          <w:i/>
          <w:iCs/>
          <w:sz w:val="24"/>
          <w:szCs w:val="24"/>
          <w:lang w:val="es-ES"/>
        </w:rPr>
        <w:t>BIOMAT research group, University of the Basque Country (UPV/EHU), Escuela de Ingeniería de Gipuz</w:t>
      </w:r>
      <w:r w:rsidR="00954197">
        <w:rPr>
          <w:i/>
          <w:iCs/>
          <w:sz w:val="24"/>
          <w:szCs w:val="24"/>
          <w:lang w:val="es-ES"/>
        </w:rPr>
        <w:t>koa, Plaza de Europa 1, 20018 Do</w:t>
      </w:r>
      <w:r w:rsidR="00954197" w:rsidRPr="00954197">
        <w:rPr>
          <w:i/>
          <w:iCs/>
          <w:sz w:val="24"/>
          <w:szCs w:val="24"/>
          <w:lang w:val="es-ES"/>
        </w:rPr>
        <w:t>nostia-San Sebastián, Spain.</w:t>
      </w:r>
    </w:p>
    <w:p w:rsidR="00DB5DA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Department of </w:t>
      </w:r>
      <w:r w:rsidR="00954197">
        <w:rPr>
          <w:i/>
          <w:iCs/>
          <w:sz w:val="24"/>
          <w:szCs w:val="24"/>
          <w:lang w:val="en-US"/>
        </w:rPr>
        <w:t xml:space="preserve">Applied </w:t>
      </w:r>
      <w:r>
        <w:rPr>
          <w:i/>
          <w:iCs/>
          <w:sz w:val="24"/>
          <w:szCs w:val="24"/>
          <w:lang w:val="en-US"/>
        </w:rPr>
        <w:t xml:space="preserve">Chemistry, </w:t>
      </w:r>
      <w:r w:rsidR="00954197">
        <w:rPr>
          <w:i/>
          <w:iCs/>
          <w:sz w:val="24"/>
          <w:szCs w:val="24"/>
          <w:lang w:val="en-US"/>
        </w:rPr>
        <w:t>University of the Basque Country (UPV/EHU), Facultad de Química, Paseo Manuel de Lardizabal 3, 20018, Donostia-San Sebastián, Spain.</w:t>
      </w: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AC4F67" w:rsidRDefault="000F0F16" w:rsidP="00AC4F67">
      <w:pPr>
        <w:pStyle w:val="Textoindependiente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the recent years, the</w:t>
      </w:r>
      <w:r w:rsidR="00475488">
        <w:rPr>
          <w:sz w:val="22"/>
          <w:szCs w:val="22"/>
          <w:lang w:val="en-GB"/>
        </w:rPr>
        <w:t xml:space="preserve"> </w:t>
      </w:r>
      <w:r w:rsidR="009A06A4">
        <w:rPr>
          <w:sz w:val="22"/>
          <w:szCs w:val="22"/>
          <w:lang w:val="en-GB"/>
        </w:rPr>
        <w:t>valorisation</w:t>
      </w:r>
      <w:r w:rsidR="0047548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of </w:t>
      </w:r>
      <w:r w:rsidR="003B74D4">
        <w:rPr>
          <w:sz w:val="22"/>
          <w:szCs w:val="22"/>
          <w:lang w:val="en-GB"/>
        </w:rPr>
        <w:t>food processing</w:t>
      </w:r>
      <w:r>
        <w:rPr>
          <w:sz w:val="22"/>
          <w:szCs w:val="22"/>
          <w:lang w:val="en-GB"/>
        </w:rPr>
        <w:t xml:space="preserve"> wastes </w:t>
      </w:r>
      <w:r w:rsidR="003B74D4">
        <w:rPr>
          <w:sz w:val="22"/>
          <w:szCs w:val="22"/>
          <w:lang w:val="en-GB"/>
        </w:rPr>
        <w:t xml:space="preserve">to produce active food packaging </w:t>
      </w:r>
      <w:r>
        <w:rPr>
          <w:sz w:val="22"/>
          <w:szCs w:val="22"/>
          <w:lang w:val="en-GB"/>
        </w:rPr>
        <w:t xml:space="preserve">is </w:t>
      </w:r>
      <w:r w:rsidR="00EE0DBD">
        <w:rPr>
          <w:sz w:val="22"/>
          <w:szCs w:val="22"/>
          <w:lang w:val="en-GB"/>
        </w:rPr>
        <w:t>arising</w:t>
      </w:r>
      <w:r w:rsidR="003B74D4">
        <w:rPr>
          <w:sz w:val="22"/>
          <w:szCs w:val="22"/>
          <w:lang w:val="en-GB"/>
        </w:rPr>
        <w:t xml:space="preserve"> in order to </w:t>
      </w:r>
      <w:r w:rsidR="00475488">
        <w:rPr>
          <w:sz w:val="22"/>
          <w:szCs w:val="22"/>
          <w:lang w:val="en-GB"/>
        </w:rPr>
        <w:t>close</w:t>
      </w:r>
      <w:r w:rsidR="003B74D4">
        <w:rPr>
          <w:sz w:val="22"/>
          <w:szCs w:val="22"/>
          <w:lang w:val="en-GB"/>
        </w:rPr>
        <w:t xml:space="preserve"> the loop in the food industry and address the objectives of the sustainable development</w:t>
      </w:r>
      <w:r w:rsidR="003B74D4" w:rsidRPr="00475488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lang w:val="en-GB"/>
        </w:rPr>
        <w:t>. Natural polymers are of great interest due to their inherent biochemical properties and biodegradability. One of these polymers is chitosan, a polysaccharide derived from chitin</w:t>
      </w:r>
      <w:r w:rsidR="00A06C3F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</w:t>
      </w:r>
      <w:r w:rsidR="004129F8">
        <w:rPr>
          <w:sz w:val="22"/>
          <w:szCs w:val="22"/>
          <w:lang w:val="en-GB"/>
        </w:rPr>
        <w:t>commercially</w:t>
      </w:r>
      <w:r>
        <w:rPr>
          <w:sz w:val="22"/>
          <w:szCs w:val="22"/>
          <w:lang w:val="en-GB"/>
        </w:rPr>
        <w:t xml:space="preserve"> obtained from crustaceans’ shells</w:t>
      </w:r>
      <w:r>
        <w:rPr>
          <w:sz w:val="22"/>
          <w:szCs w:val="22"/>
          <w:vertAlign w:val="superscript"/>
          <w:lang w:val="en-GB"/>
        </w:rPr>
        <w:t>2</w:t>
      </w:r>
      <w:r>
        <w:rPr>
          <w:sz w:val="22"/>
          <w:szCs w:val="22"/>
          <w:lang w:val="en-GB"/>
        </w:rPr>
        <w:t xml:space="preserve">. In this study, chitosan films </w:t>
      </w:r>
      <w:r w:rsidR="004129F8">
        <w:rPr>
          <w:sz w:val="22"/>
          <w:szCs w:val="22"/>
          <w:lang w:val="en-GB"/>
        </w:rPr>
        <w:t xml:space="preserve">were prepared </w:t>
      </w:r>
      <w:r>
        <w:rPr>
          <w:sz w:val="22"/>
          <w:szCs w:val="22"/>
          <w:lang w:val="en-GB"/>
        </w:rPr>
        <w:t>with gallic acid (</w:t>
      </w:r>
      <w:r w:rsidR="00AC4F67">
        <w:rPr>
          <w:sz w:val="22"/>
          <w:szCs w:val="22"/>
          <w:lang w:val="en-GB"/>
        </w:rPr>
        <w:t xml:space="preserve">0, </w:t>
      </w:r>
      <w:r>
        <w:rPr>
          <w:sz w:val="22"/>
          <w:szCs w:val="22"/>
          <w:lang w:val="en-GB"/>
        </w:rPr>
        <w:t xml:space="preserve">10 and 20% </w:t>
      </w:r>
      <w:r w:rsidR="004129F8">
        <w:rPr>
          <w:sz w:val="22"/>
          <w:szCs w:val="22"/>
          <w:lang w:val="en-GB"/>
        </w:rPr>
        <w:t>wt.</w:t>
      </w:r>
      <w:r>
        <w:rPr>
          <w:sz w:val="22"/>
          <w:szCs w:val="22"/>
          <w:lang w:val="en-GB"/>
        </w:rPr>
        <w:t xml:space="preserve"> based on chitosan)</w:t>
      </w:r>
      <w:r w:rsidR="004129F8">
        <w:rPr>
          <w:sz w:val="22"/>
          <w:szCs w:val="22"/>
          <w:lang w:val="en-GB"/>
        </w:rPr>
        <w:t>, as active compound, and</w:t>
      </w:r>
      <w:r>
        <w:rPr>
          <w:sz w:val="22"/>
          <w:szCs w:val="22"/>
          <w:lang w:val="en-GB"/>
        </w:rPr>
        <w:t xml:space="preserve"> glycerol</w:t>
      </w:r>
      <w:r w:rsidR="00AC4F67">
        <w:rPr>
          <w:sz w:val="22"/>
          <w:szCs w:val="22"/>
          <w:lang w:val="en-GB"/>
        </w:rPr>
        <w:t xml:space="preserve"> (15</w:t>
      </w:r>
      <w:r w:rsidR="004129F8">
        <w:rPr>
          <w:sz w:val="22"/>
          <w:szCs w:val="22"/>
          <w:lang w:val="en-GB"/>
        </w:rPr>
        <w:t>% wt. based on chitosan), as plasticizer</w:t>
      </w:r>
      <w:r>
        <w:rPr>
          <w:sz w:val="22"/>
          <w:szCs w:val="22"/>
          <w:lang w:val="en-GB"/>
        </w:rPr>
        <w:t xml:space="preserve">. </w:t>
      </w:r>
      <w:r w:rsidR="00EC608C">
        <w:rPr>
          <w:sz w:val="22"/>
          <w:szCs w:val="22"/>
          <w:lang w:val="en-GB"/>
        </w:rPr>
        <w:t>Physico-chemical and mechanical properties,</w:t>
      </w:r>
      <w:r>
        <w:rPr>
          <w:sz w:val="22"/>
          <w:szCs w:val="22"/>
          <w:lang w:val="en-GB"/>
        </w:rPr>
        <w:t xml:space="preserve"> </w:t>
      </w:r>
      <w:r w:rsidR="00A155B2">
        <w:rPr>
          <w:sz w:val="22"/>
          <w:szCs w:val="22"/>
          <w:lang w:val="en-GB"/>
        </w:rPr>
        <w:t xml:space="preserve">as well as antioxidant and </w:t>
      </w:r>
      <w:r>
        <w:rPr>
          <w:sz w:val="22"/>
          <w:szCs w:val="22"/>
          <w:lang w:val="en-GB"/>
        </w:rPr>
        <w:t>antimicrobial activit</w:t>
      </w:r>
      <w:r w:rsidR="00A155B2">
        <w:rPr>
          <w:sz w:val="22"/>
          <w:szCs w:val="22"/>
          <w:lang w:val="en-GB"/>
        </w:rPr>
        <w:t>ies were analysed in order to assess the suitability of the films as active packaging.</w:t>
      </w:r>
      <w:r w:rsidR="00A155B2">
        <w:rPr>
          <w:sz w:val="22"/>
          <w:szCs w:val="22"/>
        </w:rPr>
        <w:t xml:space="preserve"> </w:t>
      </w:r>
      <w:r w:rsidR="00C92330">
        <w:rPr>
          <w:sz w:val="22"/>
          <w:szCs w:val="22"/>
          <w:lang w:val="en-GB"/>
        </w:rPr>
        <w:t>Concerning</w:t>
      </w:r>
      <w:r w:rsidR="00697F1C">
        <w:rPr>
          <w:sz w:val="22"/>
          <w:szCs w:val="22"/>
          <w:lang w:val="en-GB"/>
        </w:rPr>
        <w:t xml:space="preserve"> optical properties, it is worth noting that the film transparency </w:t>
      </w:r>
      <w:proofErr w:type="gramStart"/>
      <w:r w:rsidR="00697F1C">
        <w:rPr>
          <w:sz w:val="22"/>
          <w:szCs w:val="22"/>
          <w:lang w:val="en-GB"/>
        </w:rPr>
        <w:t>was maintained</w:t>
      </w:r>
      <w:proofErr w:type="gramEnd"/>
      <w:r w:rsidR="00697F1C">
        <w:rPr>
          <w:sz w:val="22"/>
          <w:szCs w:val="22"/>
          <w:lang w:val="en-GB"/>
        </w:rPr>
        <w:t xml:space="preserve"> after</w:t>
      </w:r>
      <w:r w:rsidR="00220CBA">
        <w:rPr>
          <w:sz w:val="22"/>
          <w:szCs w:val="22"/>
          <w:lang w:val="en-GB"/>
        </w:rPr>
        <w:t xml:space="preserve"> gallic acid</w:t>
      </w:r>
      <w:r w:rsidR="00697F1C">
        <w:rPr>
          <w:sz w:val="22"/>
          <w:szCs w:val="22"/>
          <w:lang w:val="en-GB"/>
        </w:rPr>
        <w:t xml:space="preserve"> addition</w:t>
      </w:r>
      <w:r w:rsidR="00220CBA">
        <w:rPr>
          <w:sz w:val="22"/>
          <w:szCs w:val="22"/>
          <w:lang w:val="en-GB"/>
        </w:rPr>
        <w:t xml:space="preserve">. </w:t>
      </w:r>
      <w:r w:rsidR="00697F1C">
        <w:rPr>
          <w:sz w:val="22"/>
          <w:szCs w:val="22"/>
          <w:lang w:val="en-GB"/>
        </w:rPr>
        <w:t xml:space="preserve">The shift of some characteristic FTIR bands, specifically those related to </w:t>
      </w:r>
      <w:r w:rsidR="0083649E">
        <w:rPr>
          <w:sz w:val="22"/>
          <w:szCs w:val="22"/>
          <w:lang w:val="en-GB"/>
        </w:rPr>
        <w:t xml:space="preserve">O-H and N-H stretching </w:t>
      </w:r>
      <w:r w:rsidR="00697F1C">
        <w:rPr>
          <w:sz w:val="22"/>
          <w:szCs w:val="22"/>
          <w:lang w:val="en-GB"/>
        </w:rPr>
        <w:t xml:space="preserve">and to </w:t>
      </w:r>
      <w:r w:rsidR="00E650A5">
        <w:rPr>
          <w:sz w:val="22"/>
          <w:szCs w:val="22"/>
          <w:lang w:val="en-GB"/>
        </w:rPr>
        <w:t>amide II</w:t>
      </w:r>
      <w:r w:rsidR="00697F1C">
        <w:rPr>
          <w:sz w:val="22"/>
          <w:szCs w:val="22"/>
          <w:lang w:val="en-GB"/>
        </w:rPr>
        <w:t>, indicated the interactions between the mixture components, which led to the improvement of the functional properties of chitosan films</w:t>
      </w:r>
      <w:r w:rsidR="00796F95">
        <w:rPr>
          <w:sz w:val="22"/>
          <w:szCs w:val="22"/>
          <w:lang w:val="en-GB"/>
        </w:rPr>
        <w:t>.</w:t>
      </w:r>
      <w:r w:rsidR="00C92330">
        <w:rPr>
          <w:sz w:val="22"/>
          <w:szCs w:val="22"/>
          <w:lang w:val="en-GB"/>
        </w:rPr>
        <w:t xml:space="preserve"> In particular, </w:t>
      </w:r>
      <w:r w:rsidR="00E650A5">
        <w:rPr>
          <w:sz w:val="22"/>
          <w:szCs w:val="22"/>
          <w:lang w:val="en-GB"/>
        </w:rPr>
        <w:t>tensile strength increased wh</w:t>
      </w:r>
      <w:r w:rsidR="00C92330">
        <w:rPr>
          <w:sz w:val="22"/>
          <w:szCs w:val="22"/>
          <w:lang w:val="en-GB"/>
        </w:rPr>
        <w:t>en</w:t>
      </w:r>
      <w:r w:rsidR="00E650A5">
        <w:rPr>
          <w:sz w:val="22"/>
          <w:szCs w:val="22"/>
          <w:lang w:val="en-GB"/>
        </w:rPr>
        <w:t xml:space="preserve"> the gallic acid concentration increased. </w:t>
      </w:r>
      <w:r w:rsidR="00AC4F67">
        <w:rPr>
          <w:sz w:val="22"/>
          <w:szCs w:val="22"/>
          <w:lang w:val="en-GB"/>
        </w:rPr>
        <w:t xml:space="preserve">Regarding </w:t>
      </w:r>
      <w:r w:rsidR="00A155B2">
        <w:rPr>
          <w:sz w:val="22"/>
          <w:szCs w:val="22"/>
          <w:lang w:val="en-GB"/>
        </w:rPr>
        <w:t>the</w:t>
      </w:r>
      <w:r w:rsidR="00AC4F67">
        <w:rPr>
          <w:sz w:val="22"/>
          <w:szCs w:val="22"/>
          <w:lang w:val="en-GB"/>
        </w:rPr>
        <w:t xml:space="preserve"> antimicrobial a</w:t>
      </w:r>
      <w:r w:rsidR="00A155B2">
        <w:rPr>
          <w:sz w:val="22"/>
          <w:szCs w:val="22"/>
          <w:lang w:val="en-GB"/>
        </w:rPr>
        <w:t>ctivity</w:t>
      </w:r>
      <w:r w:rsidR="00AC4F67">
        <w:rPr>
          <w:sz w:val="22"/>
          <w:szCs w:val="22"/>
          <w:lang w:val="en-GB"/>
        </w:rPr>
        <w:t xml:space="preserve">, </w:t>
      </w:r>
      <w:proofErr w:type="spellStart"/>
      <w:r w:rsidR="00A155B2">
        <w:rPr>
          <w:sz w:val="22"/>
          <w:szCs w:val="22"/>
          <w:lang w:val="en-GB"/>
        </w:rPr>
        <w:t>gallic</w:t>
      </w:r>
      <w:proofErr w:type="spellEnd"/>
      <w:r w:rsidR="00A155B2">
        <w:rPr>
          <w:sz w:val="22"/>
          <w:szCs w:val="22"/>
          <w:lang w:val="en-GB"/>
        </w:rPr>
        <w:t xml:space="preserve"> acid-incorporated chitosan </w:t>
      </w:r>
      <w:r w:rsidR="00EF7A89">
        <w:rPr>
          <w:sz w:val="22"/>
          <w:szCs w:val="22"/>
          <w:lang w:val="en-GB"/>
        </w:rPr>
        <w:t xml:space="preserve">films </w:t>
      </w:r>
      <w:proofErr w:type="gramStart"/>
      <w:r w:rsidR="00E91F3A">
        <w:rPr>
          <w:sz w:val="22"/>
          <w:szCs w:val="22"/>
          <w:lang w:val="en-GB"/>
        </w:rPr>
        <w:t>were found</w:t>
      </w:r>
      <w:proofErr w:type="gramEnd"/>
      <w:r w:rsidR="00E91F3A">
        <w:rPr>
          <w:sz w:val="22"/>
          <w:szCs w:val="22"/>
          <w:lang w:val="en-GB"/>
        </w:rPr>
        <w:t xml:space="preserve"> to be effective against </w:t>
      </w:r>
      <w:r w:rsidR="004254E5" w:rsidRPr="004254E5">
        <w:rPr>
          <w:i/>
          <w:sz w:val="22"/>
          <w:szCs w:val="22"/>
          <w:lang w:val="en-GB"/>
        </w:rPr>
        <w:t>Escherichia coli</w:t>
      </w:r>
      <w:r w:rsidR="004254E5" w:rsidRPr="004254E5">
        <w:rPr>
          <w:sz w:val="22"/>
          <w:szCs w:val="22"/>
          <w:lang w:val="en-GB"/>
        </w:rPr>
        <w:t xml:space="preserve"> DH5</w:t>
      </w:r>
      <w:r w:rsidR="004254E5">
        <w:rPr>
          <w:sz w:val="22"/>
          <w:szCs w:val="22"/>
          <w:lang w:val="en-GB"/>
        </w:rPr>
        <w:sym w:font="Symbol" w:char="F061"/>
      </w:r>
      <w:r w:rsidR="00E91F3A" w:rsidRPr="004254E5">
        <w:rPr>
          <w:sz w:val="22"/>
          <w:szCs w:val="22"/>
          <w:lang w:val="en-GB"/>
        </w:rPr>
        <w:t>.</w:t>
      </w:r>
      <w:r w:rsidR="00E91F3A">
        <w:rPr>
          <w:i/>
          <w:sz w:val="22"/>
          <w:szCs w:val="22"/>
          <w:lang w:val="en-GB"/>
        </w:rPr>
        <w:t xml:space="preserve"> </w:t>
      </w:r>
      <w:r w:rsidR="00E91F3A" w:rsidRPr="00C33C2B">
        <w:rPr>
          <w:sz w:val="22"/>
          <w:szCs w:val="22"/>
          <w:lang w:val="en-GB"/>
        </w:rPr>
        <w:t>Furthermore</w:t>
      </w:r>
      <w:r w:rsidR="00E91F3A">
        <w:rPr>
          <w:i/>
          <w:sz w:val="22"/>
          <w:szCs w:val="22"/>
          <w:lang w:val="en-GB"/>
        </w:rPr>
        <w:t>,</w:t>
      </w:r>
      <w:r w:rsidR="00DC105B">
        <w:rPr>
          <w:i/>
          <w:sz w:val="22"/>
          <w:szCs w:val="22"/>
          <w:lang w:val="en-GB"/>
        </w:rPr>
        <w:t xml:space="preserve"> </w:t>
      </w:r>
      <w:r w:rsidR="00AC4F67">
        <w:rPr>
          <w:sz w:val="22"/>
          <w:szCs w:val="22"/>
          <w:lang w:val="en-GB"/>
        </w:rPr>
        <w:t>DPPH values showed an incre</w:t>
      </w:r>
      <w:r w:rsidR="00E91F3A">
        <w:rPr>
          <w:sz w:val="22"/>
          <w:szCs w:val="22"/>
          <w:lang w:val="en-GB"/>
        </w:rPr>
        <w:t>ase</w:t>
      </w:r>
      <w:r w:rsidR="00AC4F67">
        <w:rPr>
          <w:sz w:val="22"/>
          <w:szCs w:val="22"/>
          <w:lang w:val="en-GB"/>
        </w:rPr>
        <w:t xml:space="preserve"> of antioxida</w:t>
      </w:r>
      <w:r w:rsidR="00E91F3A">
        <w:rPr>
          <w:sz w:val="22"/>
          <w:szCs w:val="22"/>
          <w:lang w:val="en-GB"/>
        </w:rPr>
        <w:t>nt</w:t>
      </w:r>
      <w:r w:rsidR="00AC4F67">
        <w:rPr>
          <w:sz w:val="22"/>
          <w:szCs w:val="22"/>
          <w:lang w:val="en-GB"/>
        </w:rPr>
        <w:t xml:space="preserve"> </w:t>
      </w:r>
      <w:r w:rsidR="00E91F3A">
        <w:rPr>
          <w:sz w:val="22"/>
          <w:szCs w:val="22"/>
          <w:lang w:val="en-GB"/>
        </w:rPr>
        <w:t xml:space="preserve">from </w:t>
      </w:r>
      <w:r w:rsidR="00AC4F67">
        <w:rPr>
          <w:sz w:val="22"/>
          <w:szCs w:val="22"/>
          <w:lang w:val="en-GB"/>
        </w:rPr>
        <w:t xml:space="preserve">51 </w:t>
      </w:r>
      <w:r w:rsidR="00E91F3A">
        <w:rPr>
          <w:sz w:val="22"/>
          <w:szCs w:val="22"/>
          <w:lang w:val="en-GB"/>
        </w:rPr>
        <w:t>to</w:t>
      </w:r>
      <w:r w:rsidR="00AC4F67">
        <w:rPr>
          <w:sz w:val="22"/>
          <w:szCs w:val="22"/>
          <w:lang w:val="en-GB"/>
        </w:rPr>
        <w:t xml:space="preserve"> 96% for neat chitosan films and chitosan films</w:t>
      </w:r>
      <w:r w:rsidR="00B95D2F">
        <w:rPr>
          <w:sz w:val="22"/>
          <w:szCs w:val="22"/>
          <w:lang w:val="en-GB"/>
        </w:rPr>
        <w:t xml:space="preserve"> with</w:t>
      </w:r>
      <w:r w:rsidR="00DC105B">
        <w:rPr>
          <w:sz w:val="22"/>
          <w:szCs w:val="22"/>
          <w:lang w:val="en-GB"/>
        </w:rPr>
        <w:t xml:space="preserve"> </w:t>
      </w:r>
      <w:bookmarkStart w:id="0" w:name="_GoBack"/>
      <w:bookmarkEnd w:id="0"/>
      <w:r w:rsidR="00DC105B">
        <w:rPr>
          <w:sz w:val="22"/>
          <w:szCs w:val="22"/>
          <w:lang w:val="en-GB"/>
        </w:rPr>
        <w:t>10 and 20%</w:t>
      </w:r>
      <w:r w:rsidR="00C92330">
        <w:rPr>
          <w:sz w:val="22"/>
          <w:szCs w:val="22"/>
          <w:lang w:val="en-GB"/>
        </w:rPr>
        <w:t xml:space="preserve"> wt.</w:t>
      </w:r>
      <w:r w:rsidR="00DC105B">
        <w:rPr>
          <w:sz w:val="22"/>
          <w:szCs w:val="22"/>
          <w:lang w:val="en-GB"/>
        </w:rPr>
        <w:t xml:space="preserve"> </w:t>
      </w:r>
      <w:r w:rsidR="00E91F3A">
        <w:rPr>
          <w:sz w:val="22"/>
          <w:szCs w:val="22"/>
          <w:lang w:val="en-GB"/>
        </w:rPr>
        <w:t>gallic acid,</w:t>
      </w:r>
      <w:r w:rsidR="00AC4F67">
        <w:rPr>
          <w:sz w:val="22"/>
          <w:szCs w:val="22"/>
          <w:lang w:val="en-GB"/>
        </w:rPr>
        <w:t xml:space="preserve"> respectively</w:t>
      </w:r>
      <w:r w:rsidR="00DC105B">
        <w:rPr>
          <w:sz w:val="22"/>
          <w:szCs w:val="22"/>
          <w:lang w:val="en-GB"/>
        </w:rPr>
        <w:t>.</w:t>
      </w:r>
      <w:r w:rsidR="008966BE">
        <w:rPr>
          <w:sz w:val="22"/>
          <w:szCs w:val="22"/>
          <w:lang w:val="en-GB"/>
        </w:rPr>
        <w:t xml:space="preserve"> </w:t>
      </w:r>
      <w:r w:rsidR="00E91F3A">
        <w:rPr>
          <w:sz w:val="22"/>
          <w:szCs w:val="22"/>
          <w:lang w:val="en-GB"/>
        </w:rPr>
        <w:t xml:space="preserve">Finally, it is worth noting that gallic acid </w:t>
      </w:r>
      <w:proofErr w:type="gramStart"/>
      <w:r w:rsidR="00E91F3A">
        <w:rPr>
          <w:sz w:val="22"/>
          <w:szCs w:val="22"/>
          <w:lang w:val="en-GB"/>
        </w:rPr>
        <w:t>was released</w:t>
      </w:r>
      <w:proofErr w:type="gramEnd"/>
      <w:r w:rsidR="00E91F3A">
        <w:rPr>
          <w:sz w:val="22"/>
          <w:szCs w:val="22"/>
          <w:lang w:val="en-GB"/>
        </w:rPr>
        <w:t xml:space="preserve"> from the film in a controlled manner.</w:t>
      </w:r>
      <w:r w:rsidR="005D1826">
        <w:rPr>
          <w:sz w:val="22"/>
          <w:szCs w:val="22"/>
          <w:lang w:val="en-GB"/>
        </w:rPr>
        <w:t xml:space="preserve"> </w:t>
      </w:r>
    </w:p>
    <w:p w:rsidR="00017F77" w:rsidRDefault="00017F77">
      <w:pPr>
        <w:pStyle w:val="Textoindependiente"/>
        <w:jc w:val="both"/>
        <w:rPr>
          <w:sz w:val="22"/>
          <w:szCs w:val="22"/>
          <w:lang w:val="en-GB"/>
        </w:rPr>
      </w:pPr>
    </w:p>
    <w:p w:rsidR="000F0F16" w:rsidRDefault="000F0F16">
      <w:pPr>
        <w:pStyle w:val="Textoindependiente"/>
        <w:jc w:val="both"/>
        <w:rPr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Acknowledgements:</w:t>
      </w:r>
    </w:p>
    <w:p w:rsidR="000F0F16" w:rsidRPr="000F0F16" w:rsidRDefault="003B1D30">
      <w:pPr>
        <w:pStyle w:val="Textoindependiente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Iratxe Zarandona thanks the Basque Government (22-2018-00078) for the Ph.D. fellowship.</w:t>
      </w:r>
    </w:p>
    <w:p w:rsidR="00DB5DA7" w:rsidRDefault="00DB5DA7">
      <w:pPr>
        <w:pStyle w:val="Textoindependiente"/>
        <w:jc w:val="both"/>
        <w:rPr>
          <w:rFonts w:ascii="Times New Roman" w:hAnsi="Times New Roman" w:cs="Times New Roman"/>
          <w:lang w:val="en-GB"/>
        </w:rPr>
      </w:pPr>
    </w:p>
    <w:p w:rsidR="00DB5DA7" w:rsidRDefault="00DB5DA7">
      <w:pPr>
        <w:pStyle w:val="Textoindependiente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:rsidR="00DB5DA7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7863AF" w:rsidRPr="007758D8">
        <w:rPr>
          <w:rFonts w:ascii="Arial" w:hAnsi="Arial" w:cs="Arial"/>
        </w:rPr>
        <w:t>Rabnawaz, M., Wyman, I., Auras, R., &amp; Cheng, S. (2017). A roadmap towards green packaging: The current status and future outlook for polyesters in the packaging industry. Green Chemistry, 19, 4737–4753.</w:t>
      </w:r>
    </w:p>
    <w:p w:rsidR="00DB5DA7" w:rsidRDefault="00DB5DA7">
      <w:pPr>
        <w:ind w:left="187" w:hanging="18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7863AF" w:rsidRPr="007758D8">
        <w:rPr>
          <w:rFonts w:ascii="Arial" w:hAnsi="Arial" w:cs="Arial"/>
        </w:rPr>
        <w:t>Guerrero, P., Muxika, A., Zarandona, I., &amp; de la Caba, K. (2019). Crosslinking of chitosan films processed by compression molding. Carbohydrate Polymers 206, 820-826.</w:t>
      </w:r>
    </w:p>
    <w:p w:rsidR="00DB5DA7" w:rsidRDefault="00DB5DA7">
      <w:pPr>
        <w:pStyle w:val="Textoindependiente"/>
        <w:rPr>
          <w:rFonts w:ascii="Times New Roman" w:hAnsi="Times New Roman" w:cs="Times New Roman"/>
          <w:sz w:val="20"/>
          <w:szCs w:val="20"/>
          <w:lang w:val="en-GB"/>
        </w:rPr>
      </w:pPr>
    </w:p>
    <w:sectPr w:rsidR="00DB5DA7" w:rsidSect="00A96E06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AA32531"/>
    <w:multiLevelType w:val="hybridMultilevel"/>
    <w:tmpl w:val="D8409814"/>
    <w:lvl w:ilvl="0" w:tplc="EA820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02D8C"/>
    <w:rsid w:val="00017F77"/>
    <w:rsid w:val="00034739"/>
    <w:rsid w:val="000359A7"/>
    <w:rsid w:val="00087BC2"/>
    <w:rsid w:val="000B007F"/>
    <w:rsid w:val="000E4613"/>
    <w:rsid w:val="000F0F16"/>
    <w:rsid w:val="001246E4"/>
    <w:rsid w:val="00135919"/>
    <w:rsid w:val="00153608"/>
    <w:rsid w:val="001A6F1D"/>
    <w:rsid w:val="001C7F74"/>
    <w:rsid w:val="001D37D9"/>
    <w:rsid w:val="00220CBA"/>
    <w:rsid w:val="00247F49"/>
    <w:rsid w:val="002E1E59"/>
    <w:rsid w:val="00372BF1"/>
    <w:rsid w:val="003B1D30"/>
    <w:rsid w:val="003B74D4"/>
    <w:rsid w:val="003C0959"/>
    <w:rsid w:val="003E01BA"/>
    <w:rsid w:val="004129F8"/>
    <w:rsid w:val="004254E5"/>
    <w:rsid w:val="00434B47"/>
    <w:rsid w:val="00475488"/>
    <w:rsid w:val="004B2197"/>
    <w:rsid w:val="005453CC"/>
    <w:rsid w:val="005D1826"/>
    <w:rsid w:val="00697F1C"/>
    <w:rsid w:val="006D6551"/>
    <w:rsid w:val="007863AF"/>
    <w:rsid w:val="00796F95"/>
    <w:rsid w:val="00805043"/>
    <w:rsid w:val="00820DBA"/>
    <w:rsid w:val="0083649E"/>
    <w:rsid w:val="008966BE"/>
    <w:rsid w:val="008B1C70"/>
    <w:rsid w:val="00920173"/>
    <w:rsid w:val="00920307"/>
    <w:rsid w:val="00920B52"/>
    <w:rsid w:val="00954197"/>
    <w:rsid w:val="009A06A4"/>
    <w:rsid w:val="009C1723"/>
    <w:rsid w:val="009C43DB"/>
    <w:rsid w:val="00A06C3F"/>
    <w:rsid w:val="00A155B2"/>
    <w:rsid w:val="00A76F8F"/>
    <w:rsid w:val="00A91658"/>
    <w:rsid w:val="00A96E06"/>
    <w:rsid w:val="00AC4F67"/>
    <w:rsid w:val="00B419FE"/>
    <w:rsid w:val="00B95D2F"/>
    <w:rsid w:val="00BE0555"/>
    <w:rsid w:val="00BE28B2"/>
    <w:rsid w:val="00BE5BA1"/>
    <w:rsid w:val="00C33C2B"/>
    <w:rsid w:val="00C43F96"/>
    <w:rsid w:val="00C542E5"/>
    <w:rsid w:val="00C92330"/>
    <w:rsid w:val="00D163FF"/>
    <w:rsid w:val="00D22B7C"/>
    <w:rsid w:val="00DB5DA7"/>
    <w:rsid w:val="00DC105B"/>
    <w:rsid w:val="00E11F62"/>
    <w:rsid w:val="00E13CA2"/>
    <w:rsid w:val="00E30E61"/>
    <w:rsid w:val="00E650A5"/>
    <w:rsid w:val="00E8451A"/>
    <w:rsid w:val="00E91F3A"/>
    <w:rsid w:val="00E97EE6"/>
    <w:rsid w:val="00EC608C"/>
    <w:rsid w:val="00EE0DBD"/>
    <w:rsid w:val="00EF4FB8"/>
    <w:rsid w:val="00EF7A89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791E1"/>
  <w15:docId w15:val="{B1991396-1C53-4E17-A3FB-FD1BFC88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06"/>
    <w:pPr>
      <w:autoSpaceDE w:val="0"/>
      <w:autoSpaceDN w:val="0"/>
    </w:pPr>
    <w:rPr>
      <w:rFonts w:eastAsia="SimSun"/>
      <w:lang w:val="nb-N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6E06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3B74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74D4"/>
    <w:rPr>
      <w:rFonts w:ascii="Tahoma" w:eastAsia="SimSun" w:hAnsi="Tahoma" w:cs="Tahoma"/>
      <w:sz w:val="16"/>
      <w:szCs w:val="16"/>
      <w:lang w:val="nb-NO" w:eastAsia="zh-CN"/>
    </w:rPr>
  </w:style>
  <w:style w:type="character" w:styleId="Refdecomentario">
    <w:name w:val="annotation reference"/>
    <w:basedOn w:val="Fuentedeprrafopredeter"/>
    <w:rsid w:val="004129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29F8"/>
  </w:style>
  <w:style w:type="character" w:customStyle="1" w:styleId="TextocomentarioCar">
    <w:name w:val="Texto comentario Car"/>
    <w:basedOn w:val="Fuentedeprrafopredeter"/>
    <w:link w:val="Textocomentario"/>
    <w:rsid w:val="004129F8"/>
    <w:rPr>
      <w:rFonts w:eastAsia="SimSun"/>
      <w:lang w:val="nb-NO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29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29F8"/>
    <w:rPr>
      <w:rFonts w:eastAsia="SimSun"/>
      <w:b/>
      <w:bCs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creator>kdraget</dc:creator>
  <cp:lastModifiedBy>Iratxe ZARANDONA</cp:lastModifiedBy>
  <cp:revision>2</cp:revision>
  <cp:lastPrinted>2008-01-25T14:22:00Z</cp:lastPrinted>
  <dcterms:created xsi:type="dcterms:W3CDTF">2018-12-26T11:31:00Z</dcterms:created>
  <dcterms:modified xsi:type="dcterms:W3CDTF">2018-12-26T11:31:00Z</dcterms:modified>
</cp:coreProperties>
</file>