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1270" w:rsidR="00D74413" w:rsidP="005E4D75" w:rsidRDefault="00D74413" w14:paraId="5BE6E9D6" w14:textId="36C22C9A">
      <w:pPr>
        <w:jc w:val="both"/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</w:pPr>
      <w:r w:rsidRPr="00721270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>Driv</w:t>
      </w:r>
      <w:r w:rsidRPr="00721270" w:rsidR="00721270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>ing</w:t>
      </w:r>
      <w:r w:rsidRPr="00721270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 xml:space="preserve"> pea and whey protein hydrolysis towards the development of hybrid beverage</w:t>
      </w:r>
      <w:r w:rsidRPr="00721270" w:rsidR="007F24A6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>s</w:t>
      </w:r>
      <w:r w:rsidRPr="00721270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 xml:space="preserve"> with improved</w:t>
      </w:r>
      <w:r w:rsidRPr="00721270" w:rsidR="00721270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 xml:space="preserve"> </w:t>
      </w:r>
      <w:r w:rsidRPr="00721270">
        <w:rPr>
          <w:rFonts w:ascii="Arial" w:hAnsi="Arial" w:eastAsia="SimSun" w:cs="Arial"/>
          <w:b/>
          <w:bCs/>
          <w:kern w:val="0"/>
          <w:sz w:val="32"/>
          <w:szCs w:val="32"/>
          <w:lang w:eastAsia="zh-CN"/>
          <w14:ligatures w14:val="none"/>
        </w:rPr>
        <w:t xml:space="preserve">foamability </w:t>
      </w:r>
    </w:p>
    <w:p w:rsidRPr="00090BC7" w:rsidR="00BD2830" w:rsidP="00BD2830" w:rsidRDefault="00BD2830" w14:paraId="362542C3" w14:textId="36506B71" w14:noSpellErr="1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kern w:val="0"/>
          <w:lang w:eastAsia="zh-CN"/>
          <w14:ligatures w14:val="none"/>
        </w:rPr>
      </w:pPr>
      <w:r w:rsidRPr="603BE80C" w:rsidR="00BD2830">
        <w:rPr>
          <w:rFonts w:ascii="Times New Roman" w:hAnsi="Times New Roman" w:eastAsia="SimSun" w:cs="Times New Roman"/>
          <w:kern w:val="0"/>
          <w:u w:val="single"/>
          <w:lang w:eastAsia="zh-CN"/>
          <w14:ligatures w14:val="none"/>
        </w:rPr>
        <w:t>G Di Filippo</w:t>
      </w:r>
      <w:r w:rsidRPr="00F6228E" w:rsidR="00BD2830">
        <w:rPr>
          <w:rFonts w:ascii="Times New Roman" w:hAnsi="Times New Roman" w:eastAsia="SimSun" w:cs="Times New Roman"/>
          <w:kern w:val="0"/>
          <w:vertAlign w:val="superscript"/>
          <w:lang w:eastAsia="zh-CN"/>
          <w14:ligatures w14:val="none"/>
        </w:rPr>
        <w:t>1</w:t>
      </w:r>
      <w:r w:rsidRPr="00F6228E" w:rsidR="00BD2830">
        <w:rPr>
          <w:rFonts w:ascii="Times New Roman" w:hAnsi="Times New Roman" w:eastAsia="SimSun" w:cs="Times New Roman"/>
          <w:kern w:val="0"/>
          <w:lang w:eastAsia="zh-CN"/>
          <w14:ligatures w14:val="none"/>
        </w:rPr>
        <w:t>,</w:t>
      </w:r>
      <w:r w:rsidRPr="00F6228E" w:rsidR="000F4907">
        <w:rPr>
          <w:rFonts w:ascii="Times New Roman" w:hAnsi="Times New Roman" w:eastAsia="SimSun" w:cs="Times New Roman"/>
          <w:kern w:val="0"/>
          <w:lang w:eastAsia="zh-CN"/>
          <w14:ligatures w14:val="none"/>
        </w:rPr>
        <w:t xml:space="preserve"> </w:t>
      </w:r>
      <w:r w:rsidRPr="00F6228E" w:rsidR="00F83894">
        <w:rPr>
          <w:rFonts w:ascii="Times New Roman" w:hAnsi="Times New Roman" w:eastAsia="SimSun" w:cs="Times New Roman"/>
          <w:kern w:val="0"/>
          <w:lang w:eastAsia="zh-CN"/>
          <w14:ligatures w14:val="none"/>
        </w:rPr>
        <w:t>N Innocente</w:t>
      </w:r>
      <w:r w:rsidRPr="00F6228E" w:rsidR="00F83894">
        <w:rPr>
          <w:rFonts w:ascii="Times New Roman" w:hAnsi="Times New Roman" w:eastAsia="SimSun" w:cs="Times New Roman"/>
          <w:kern w:val="0"/>
          <w:vertAlign w:val="superscript"/>
          <w:lang w:eastAsia="zh-CN"/>
          <w14:ligatures w14:val="none"/>
        </w:rPr>
        <w:t>1</w:t>
      </w:r>
      <w:r w:rsidRPr="00090BC7" w:rsidR="00F83894">
        <w:rPr>
          <w:rFonts w:ascii="Times New Roman" w:hAnsi="Times New Roman" w:eastAsia="SimSun" w:cs="Times New Roman"/>
          <w:kern w:val="0"/>
          <w:lang w:eastAsia="zh-CN"/>
          <w14:ligatures w14:val="none"/>
        </w:rPr>
        <w:t>, S Melchior</w:t>
      </w:r>
      <w:r w:rsidRPr="00090BC7" w:rsidR="00F83894">
        <w:rPr>
          <w:rFonts w:ascii="Times New Roman" w:hAnsi="Times New Roman" w:eastAsia="SimSun" w:cs="Times New Roman"/>
          <w:kern w:val="0"/>
          <w:vertAlign w:val="superscript"/>
          <w:lang w:eastAsia="zh-CN"/>
          <w14:ligatures w14:val="none"/>
        </w:rPr>
        <w:t>2</w:t>
      </w:r>
      <w:r w:rsidR="00215341">
        <w:rPr>
          <w:rFonts w:ascii="Times New Roman" w:hAnsi="Times New Roman" w:eastAsia="SimSun" w:cs="Times New Roman"/>
          <w:kern w:val="0"/>
          <w:lang w:eastAsia="zh-CN"/>
          <w14:ligatures w14:val="none"/>
        </w:rPr>
        <w:t xml:space="preserve"> and</w:t>
      </w:r>
      <w:r w:rsidRPr="00090BC7" w:rsidR="00F83894">
        <w:rPr>
          <w:rFonts w:ascii="Times New Roman" w:hAnsi="Times New Roman" w:eastAsia="SimSun" w:cs="Times New Roman"/>
          <w:kern w:val="0"/>
          <w:lang w:eastAsia="zh-CN"/>
          <w14:ligatures w14:val="none"/>
        </w:rPr>
        <w:t xml:space="preserve"> </w:t>
      </w:r>
      <w:r w:rsidRPr="00090BC7" w:rsidR="00090BC7">
        <w:rPr>
          <w:rFonts w:ascii="Times New Roman" w:hAnsi="Times New Roman" w:eastAsia="SimSun" w:cs="Times New Roman"/>
          <w:kern w:val="0"/>
          <w:lang w:eastAsia="zh-CN"/>
          <w14:ligatures w14:val="none"/>
        </w:rPr>
        <w:t>S Call</w:t>
      </w:r>
      <w:r w:rsidR="00090BC7">
        <w:rPr>
          <w:rFonts w:ascii="Times New Roman" w:hAnsi="Times New Roman" w:eastAsia="SimSun" w:cs="Times New Roman"/>
          <w:kern w:val="0"/>
          <w:lang w:eastAsia="zh-CN"/>
          <w14:ligatures w14:val="none"/>
        </w:rPr>
        <w:t>igaris</w:t>
      </w:r>
      <w:r w:rsidR="00090BC7">
        <w:rPr>
          <w:rFonts w:ascii="Times New Roman" w:hAnsi="Times New Roman" w:eastAsia="SimSun" w:cs="Times New Roman"/>
          <w:kern w:val="0"/>
          <w:vertAlign w:val="superscript"/>
          <w:lang w:eastAsia="zh-CN"/>
          <w14:ligatures w14:val="none"/>
        </w:rPr>
        <w:t>1</w:t>
      </w:r>
    </w:p>
    <w:p w:rsidRPr="00090BC7" w:rsidR="00BD2830" w:rsidP="00BD2830" w:rsidRDefault="00BD2830" w14:paraId="4E7F1512" w14:textId="77777777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kern w:val="0"/>
          <w:lang w:eastAsia="zh-CN"/>
          <w14:ligatures w14:val="none"/>
        </w:rPr>
      </w:pPr>
    </w:p>
    <w:p w:rsidR="00BD2830" w:rsidP="00BD2830" w:rsidRDefault="00BD2830" w14:paraId="7C583265" w14:textId="063B276C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</w:pPr>
      <w:r w:rsidRPr="00581693">
        <w:rPr>
          <w:rFonts w:ascii="Times New Roman" w:hAnsi="Times New Roman" w:eastAsia="SimSun" w:cs="Times New Roman"/>
          <w:i/>
          <w:iCs/>
          <w:kern w:val="0"/>
          <w:vertAlign w:val="superscript"/>
          <w:lang w:eastAsia="zh-CN"/>
          <w14:ligatures w14:val="none"/>
        </w:rPr>
        <w:t>1</w:t>
      </w:r>
      <w:r w:rsidRPr="00581693">
        <w:rPr>
          <w:rFonts w:ascii="Times New Roman" w:hAnsi="Times New Roman" w:cs="Times New Roman"/>
          <w:kern w:val="0"/>
          <w:szCs w:val="22"/>
          <w14:ligatures w14:val="none"/>
        </w:rPr>
        <w:t xml:space="preserve"> </w:t>
      </w:r>
      <w:r w:rsidRPr="00581693"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  <w:t>Department of Agri</w:t>
      </w:r>
      <w:r w:rsidR="002C6188"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  <w:t xml:space="preserve">cultural, </w:t>
      </w:r>
      <w:r w:rsidRPr="00581693"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  <w:t>Food, Environmental and Animal Sciences, University of Udine, Italy</w:t>
      </w:r>
      <w:r w:rsidRPr="00581693">
        <w:rPr>
          <w:rFonts w:ascii="Times New Roman" w:hAnsi="Times New Roman" w:eastAsia="SimSun" w:cs="Times New Roman"/>
          <w:i/>
          <w:iCs/>
          <w:kern w:val="0"/>
          <w:vertAlign w:val="superscript"/>
          <w:lang w:eastAsia="zh-CN"/>
          <w14:ligatures w14:val="none"/>
        </w:rPr>
        <w:t xml:space="preserve"> </w:t>
      </w:r>
    </w:p>
    <w:p w:rsidRPr="007B1360" w:rsidR="00BD2830" w:rsidP="007B1360" w:rsidRDefault="00BF6C2A" w14:paraId="2D5D81C9" w14:textId="7D785A14">
      <w:pPr>
        <w:autoSpaceDE w:val="0"/>
        <w:autoSpaceDN w:val="0"/>
        <w:spacing w:line="240" w:lineRule="auto"/>
        <w:jc w:val="both"/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</w:pPr>
      <w:r>
        <w:rPr>
          <w:rFonts w:ascii="Times New Roman" w:hAnsi="Times New Roman" w:eastAsia="SimSun" w:cs="Times New Roman"/>
          <w:i/>
          <w:iCs/>
          <w:kern w:val="0"/>
          <w:vertAlign w:val="superscript"/>
          <w:lang w:eastAsia="zh-CN"/>
          <w14:ligatures w14:val="none"/>
        </w:rPr>
        <w:t>2</w:t>
      </w:r>
      <w:r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  <w:t xml:space="preserve"> </w:t>
      </w:r>
      <w:r w:rsidRPr="00FC532A" w:rsidR="00FC532A">
        <w:rPr>
          <w:rFonts w:ascii="Times New Roman" w:hAnsi="Times New Roman" w:eastAsia="SimSun" w:cs="Times New Roman"/>
          <w:i/>
          <w:iCs/>
          <w:kern w:val="0"/>
          <w:lang w:eastAsia="zh-CN"/>
          <w14:ligatures w14:val="none"/>
        </w:rPr>
        <w:t>Department of Human Sciences and Promotion of the Quality of Life, San Raffaele University, Rome, Italy</w:t>
      </w:r>
    </w:p>
    <w:p w:rsidR="005E4D75" w:rsidP="00786B2A" w:rsidRDefault="00D74413" w14:paraId="3A07253F" w14:textId="1FDE4CA1">
      <w:pPr>
        <w:autoSpaceDE w:val="0"/>
        <w:autoSpaceDN w:val="0"/>
        <w:spacing w:line="240" w:lineRule="auto"/>
        <w:jc w:val="both"/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</w:pP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he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development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of hybrid foods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,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in which </w:t>
      </w:r>
      <w:r w:rsidRPr="00D74413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animal protein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s are partially substituted with 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plant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proteins,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represents a cutting-edge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approach to intensify the utilisation of alternative proteins while limiting the use of animal ones. This approach leverages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the strengths of both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protein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sources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representing a strategy to improve the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functionality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of entirely plant-based food systems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and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to reduce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the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environmental footprint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of those formulated with animal proteins</w:t>
      </w:r>
      <w:r w:rsidR="007F526B">
        <w:rPr>
          <w:rFonts w:ascii="Arial" w:hAnsi="Arial" w:eastAsia="SimSun" w:cs="Arial"/>
          <w:kern w:val="0"/>
          <w:sz w:val="22"/>
          <w:szCs w:val="22"/>
          <w:vertAlign w:val="superscript"/>
          <w:lang w:eastAsia="zh-CN"/>
          <w14:ligatures w14:val="none"/>
        </w:rPr>
        <w:t>1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. Furthermore, these binary systems could also improve sensory and nutritional aspects, catering for the dietary preferences of health-conscious and/or flexitarian consumers, who seek to decrease animal protein intake without eliminating it</w:t>
      </w:r>
      <w:r w:rsidR="005E4D75">
        <w:rPr>
          <w:rFonts w:ascii="Arial" w:hAnsi="Arial" w:eastAsia="SimSun" w:cs="Arial"/>
          <w:kern w:val="0"/>
          <w:sz w:val="22"/>
          <w:szCs w:val="22"/>
          <w:vertAlign w:val="superscript"/>
          <w:lang w:eastAsia="zh-CN"/>
          <w14:ligatures w14:val="none"/>
        </w:rPr>
        <w:t>2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</w:t>
      </w:r>
    </w:p>
    <w:p w:rsidR="00BD2830" w:rsidP="00786B2A" w:rsidRDefault="00D74413" w14:paraId="3D922981" w14:textId="3382D247">
      <w:pPr>
        <w:autoSpaceDE w:val="0"/>
        <w:autoSpaceDN w:val="0"/>
        <w:spacing w:line="240" w:lineRule="auto"/>
        <w:jc w:val="both"/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</w:pP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The design of hybrid foods is challenging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,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B06360">
        <w:rPr>
          <w:rFonts w:ascii="Arial" w:hAnsi="Arial" w:eastAsia="SimSun" w:cs="Arial"/>
          <w:kern w:val="0"/>
          <w:sz w:val="22"/>
          <w:szCs w:val="22"/>
          <w:lang w:val="en-US" w:eastAsia="zh-CN"/>
          <w14:ligatures w14:val="none"/>
        </w:rPr>
        <w:t>particularly because the</w:t>
      </w:r>
      <w:r>
        <w:rPr>
          <w:rFonts w:ascii="Arial" w:hAnsi="Arial" w:eastAsia="SimSun" w:cs="Arial"/>
          <w:kern w:val="0"/>
          <w:sz w:val="22"/>
          <w:szCs w:val="22"/>
          <w:lang w:val="en-US" w:eastAsia="zh-CN"/>
          <w14:ligatures w14:val="none"/>
        </w:rPr>
        <w:t xml:space="preserve"> </w:t>
      </w:r>
      <w:r w:rsidRPr="00E4241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limited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technological</w:t>
      </w:r>
      <w:r w:rsidRPr="00E4241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properties and undesirable sensory attributes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of plant protein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</w:t>
      </w:r>
      <w:r w:rsidRPr="00E4241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hinder their </w:t>
      </w:r>
      <w:r w:rsidRPr="00E4241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application as hydrocolloids in food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products</w:t>
      </w:r>
      <w:r w:rsidRPr="00E4241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Targeted modifications are necessary to unlock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the full potential of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plant 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protein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and </w:t>
      </w:r>
      <w:r w:rsidR="0072127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maximise</w:t>
      </w:r>
      <w:r w:rsidRPr="00E1141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their functionality</w:t>
      </w:r>
      <w:r w:rsidR="00F027C3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.</w:t>
      </w:r>
      <w:r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Breaking</w:t>
      </w:r>
      <w:r w:rsidRPr="00F20EA3"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proteins into 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fragments of different dimensions</w:t>
      </w:r>
      <w:r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through enzymatic hydrolysis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Pr="00F20EA3"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offers a promising strategy to </w:t>
      </w:r>
      <w:r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steer protein functionalities</w:t>
      </w:r>
      <w:r w:rsidRPr="00015F4F"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allowing the development of</w:t>
      </w:r>
      <w:r w:rsidRPr="00015F4F"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functional</w:t>
      </w:r>
      <w:r w:rsidR="007B1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and</w:t>
      </w:r>
      <w:r w:rsidRPr="00015F4F"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Pr="00D5647C"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sustainable</w:t>
      </w:r>
      <w:r w:rsidR="007B1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2C6859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food products</w:t>
      </w:r>
      <w:r w:rsidR="007F24A6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</w:t>
      </w:r>
    </w:p>
    <w:p w:rsidR="005F02B0" w:rsidP="00786B2A" w:rsidRDefault="00BD2830" w14:paraId="68FB930E" w14:textId="16455F8C">
      <w:pPr>
        <w:autoSpaceDE w:val="0"/>
        <w:autoSpaceDN w:val="0"/>
        <w:spacing w:line="240" w:lineRule="auto"/>
        <w:jc w:val="both"/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</w:pP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The present </w:t>
      </w:r>
      <w:r w:rsidR="002C6859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study aimed to </w:t>
      </w:r>
      <w:r w:rsidR="0072127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optimise the enzymatic hydrolysis process to obtain </w:t>
      </w:r>
      <w:r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hydrolysates of </w:t>
      </w:r>
      <w:r w:rsidR="0072127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whey proteins (WP</w:t>
      </w:r>
      <w:r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H</w:t>
      </w:r>
      <w:r w:rsidR="0072127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) and pea proteins (PP</w:t>
      </w:r>
      <w:r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H</w:t>
      </w:r>
      <w:r w:rsidR="0072127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) </w:t>
      </w:r>
      <w:r w:rsidRPr="00B06360" w:rsidR="00B06360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which were then combined to formulate a hybrid beverage with enhanced foaming capacity</w:t>
      </w:r>
      <w:r w:rsidR="0068345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.</w:t>
      </w:r>
      <w:r w:rsidR="00280E5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6031F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To this aim</w:t>
      </w:r>
      <w:r w:rsidR="00280E5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,</w:t>
      </w:r>
      <w:r w:rsidR="006031F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proteins were hydrolysed by</w:t>
      </w: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using Alcalase 2.4L </w:t>
      </w:r>
      <w:r w:rsidR="00280E5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at </w:t>
      </w:r>
      <w:r w:rsidR="00CA4444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increasing</w:t>
      </w:r>
      <w:r w:rsidR="00280E5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hydrolysis degree</w:t>
      </w:r>
      <w:r w:rsidR="00F259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</w:t>
      </w:r>
      <w:r w:rsidRPr="00F25937" w:rsidR="00F259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The samples exhibiting optimal foamability were selected</w:t>
      </w:r>
      <w:r w:rsidR="00280E5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C41BA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to prepare W</w:t>
      </w:r>
      <w:r w:rsidR="00CA4444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P</w:t>
      </w:r>
      <w:r w:rsidR="00F259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H</w:t>
      </w:r>
      <w:r w:rsidR="00CA4444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/PP</w:t>
      </w:r>
      <w:r w:rsidR="00F259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H</w:t>
      </w:r>
      <w:r w:rsidR="00CA4444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="00C41BA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blends </w:t>
      </w:r>
      <w:r w:rsidR="00CA4444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at different ratios</w:t>
      </w:r>
      <w:r w:rsidR="006B639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(0:100; 25:75; 50:50; 75:25; 100:0)</w:t>
      </w:r>
      <w:r w:rsidR="00CA4444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</w:t>
      </w:r>
      <w:r w:rsidR="0091510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Foaming ability and stability measurements indicated that</w:t>
      </w:r>
      <w:r w:rsidR="00F259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the 50:50 ratio </w:t>
      </w:r>
      <w:r w:rsidR="0091510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exhibited</w:t>
      </w:r>
      <w:r w:rsidR="00F259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the highest foam</w:t>
      </w:r>
      <w:r w:rsidR="0091510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ing properties</w:t>
      </w:r>
      <w:r w:rsidR="00ED6528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.</w:t>
      </w:r>
      <w:r w:rsidR="005E4D75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Pr="00792537" w:rsidR="007925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Subsequent analyses were conducted to characteri</w:t>
      </w:r>
      <w:r w:rsidR="00FC532A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</w:t>
      </w:r>
      <w:r w:rsidRPr="00792537" w:rsidR="007925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e the interfacial and microstructural properties of the foam, aiming to elucidate the interactions between WPH and PPH within the hybrid system. A tensiometer was employed to measure interfacial tension, providing insights into the surface properties of the foam. Additionally, scanning electron microscopy (SEM) and confocal laser scanning microscopy (CLSM) were utili</w:t>
      </w:r>
      <w:r w:rsidR="00FC532A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</w:t>
      </w:r>
      <w:r w:rsidRPr="00792537" w:rsidR="0079253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ed to examine foam morphology at microstructural levels.</w:t>
      </w:r>
      <w:r w:rsidR="007F526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</w:p>
    <w:p w:rsidR="006F0ECB" w:rsidP="000D7498" w:rsidRDefault="00BD2830" w14:paraId="32F97748" w14:textId="2D86ADB2">
      <w:pPr>
        <w:autoSpaceDE w:val="0"/>
        <w:autoSpaceDN w:val="0"/>
        <w:spacing w:after="0" w:line="240" w:lineRule="auto"/>
        <w:jc w:val="both"/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</w:pP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This work highlights the potential of enzymatic hydrolysis as a tool to </w:t>
      </w:r>
      <w:r w:rsidR="0054461D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steer</w:t>
      </w:r>
      <w:r w:rsidRPr="00CD1472" w:rsidR="0054461D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</w:t>
      </w: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the functional </w:t>
      </w:r>
      <w:r w:rsidR="0054461D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properties </w:t>
      </w:r>
      <w:r w:rsidR="00215EE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of</w:t>
      </w: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 proteins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and the successful strategy of blending </w:t>
      </w:r>
      <w:r w:rsidR="005E4D75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animal and plant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protein sources </w:t>
      </w: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for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 foaming </w:t>
      </w: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beverage </w:t>
      </w:r>
      <w:r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formulation</w:t>
      </w:r>
      <w:r w:rsidRPr="00CD1472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</w:t>
      </w:r>
      <w:r w:rsidRPr="006F0ECB" w:rsidR="006F0EC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By analy</w:t>
      </w:r>
      <w:r w:rsidR="006F0EC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s</w:t>
      </w:r>
      <w:r w:rsidRPr="006F0ECB" w:rsidR="006F0EC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ing the interactions between WPH and PPH, we </w:t>
      </w:r>
      <w:r w:rsidR="00090BC7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aimed to </w:t>
      </w:r>
      <w:r w:rsidR="00F6228E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>deeply understand the combined and synergistic behaviour in product development</w:t>
      </w:r>
      <w:r w:rsidR="006F0ECB">
        <w:rPr>
          <w:rFonts w:ascii="Arial" w:hAnsi="Arial" w:eastAsia="SimSun" w:cs="Arial"/>
          <w:kern w:val="0"/>
          <w:sz w:val="22"/>
          <w:szCs w:val="22"/>
          <w:lang w:eastAsia="zh-CN"/>
          <w14:ligatures w14:val="none"/>
        </w:rPr>
        <w:t xml:space="preserve">. </w:t>
      </w:r>
    </w:p>
    <w:p w:rsidRPr="000D7498" w:rsidR="000D7498" w:rsidP="005E4D75" w:rsidRDefault="000D7498" w14:paraId="0D0E72F8" w14:textId="77777777">
      <w:pPr>
        <w:spacing w:after="0" w:line="276" w:lineRule="auto"/>
        <w:jc w:val="both"/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</w:pPr>
    </w:p>
    <w:p w:rsidRPr="00581693" w:rsidR="007F526B" w:rsidP="005E4D75" w:rsidRDefault="00E97758" w14:paraId="5D39554B" w14:textId="4FF1DF40">
      <w:pPr>
        <w:spacing w:after="0" w:line="276" w:lineRule="auto"/>
        <w:jc w:val="both"/>
        <w:rPr>
          <w:i/>
          <w:iCs/>
          <w:sz w:val="20"/>
          <w:szCs w:val="20"/>
          <w:lang w:val="it-IT"/>
        </w:rPr>
      </w:pPr>
      <w:proofErr w:type="spellStart"/>
      <w:r w:rsidRPr="00581693">
        <w:rPr>
          <w:rFonts w:ascii="Arial" w:hAnsi="Arial" w:eastAsia="SimSun" w:cs="Arial"/>
          <w:i/>
          <w:iCs/>
          <w:kern w:val="0"/>
          <w:sz w:val="20"/>
          <w:szCs w:val="20"/>
          <w:lang w:val="it-IT" w:eastAsia="zh-CN"/>
          <w14:ligatures w14:val="none"/>
        </w:rPr>
        <w:t>Refe</w:t>
      </w:r>
      <w:r w:rsidRPr="00581693" w:rsidR="005E4D75">
        <w:rPr>
          <w:rFonts w:ascii="Arial" w:hAnsi="Arial" w:eastAsia="SimSun" w:cs="Arial"/>
          <w:i/>
          <w:iCs/>
          <w:kern w:val="0"/>
          <w:sz w:val="20"/>
          <w:szCs w:val="20"/>
          <w:lang w:val="it-IT" w:eastAsia="zh-CN"/>
          <w14:ligatures w14:val="none"/>
        </w:rPr>
        <w:t>rences</w:t>
      </w:r>
      <w:proofErr w:type="spellEnd"/>
      <w:r w:rsidRPr="00581693" w:rsidR="005E4D75">
        <w:rPr>
          <w:rFonts w:ascii="Arial" w:hAnsi="Arial" w:eastAsia="SimSun" w:cs="Arial"/>
          <w:i/>
          <w:iCs/>
          <w:kern w:val="0"/>
          <w:sz w:val="20"/>
          <w:szCs w:val="20"/>
          <w:lang w:val="it-IT" w:eastAsia="zh-CN"/>
          <w14:ligatures w14:val="none"/>
        </w:rPr>
        <w:t>:</w:t>
      </w:r>
    </w:p>
    <w:p w:rsidRPr="00306E4B" w:rsidR="00FC532A" w:rsidP="00FC532A" w:rsidRDefault="005E4D75" w14:paraId="5EC796CF" w14:textId="74B34CC0">
      <w:pPr>
        <w:spacing w:after="0" w:line="276" w:lineRule="auto"/>
        <w:jc w:val="both"/>
        <w:rPr>
          <w:rFonts w:ascii="Arial" w:hAnsi="Arial" w:eastAsia="SimSun" w:cs="Arial"/>
          <w:kern w:val="0"/>
          <w:sz w:val="20"/>
          <w:szCs w:val="20"/>
          <w:lang w:eastAsia="zh-CN"/>
          <w14:ligatures w14:val="none"/>
        </w:rPr>
      </w:pPr>
      <w:r w:rsidRPr="00306E4B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>1</w:t>
      </w:r>
      <w:r w:rsidRPr="00306E4B" w:rsidR="00E97758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 xml:space="preserve"> </w:t>
      </w:r>
      <w:r w:rsidRPr="00E97758" w:rsidR="00E97758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 xml:space="preserve">Silva, T. H. B., Baptista, D. P., Silva, K. K. D. P. E., </w:t>
      </w:r>
      <w:proofErr w:type="spellStart"/>
      <w:r w:rsidRPr="00E97758" w:rsidR="00E97758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>Marfil</w:t>
      </w:r>
      <w:proofErr w:type="spellEnd"/>
      <w:r w:rsidRPr="00E97758" w:rsidR="00E97758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 xml:space="preserve">, P. H. M. </w:t>
      </w:r>
      <w:r w:rsidR="00215341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>and</w:t>
      </w:r>
      <w:r w:rsidRPr="00E97758" w:rsidR="00E97758">
        <w:rPr>
          <w:rFonts w:ascii="Arial" w:hAnsi="Arial" w:eastAsia="SimSun" w:cs="Arial"/>
          <w:kern w:val="0"/>
          <w:sz w:val="20"/>
          <w:szCs w:val="20"/>
          <w:lang w:val="it-IT" w:eastAsia="zh-CN"/>
          <w14:ligatures w14:val="none"/>
        </w:rPr>
        <w:t xml:space="preserve"> Gigante, M. L. (2024). </w:t>
      </w:r>
      <w:r w:rsidRPr="00E97758" w:rsidR="00E97758">
        <w:rPr>
          <w:rFonts w:ascii="Arial" w:hAnsi="Arial" w:eastAsia="SimSun" w:cs="Arial"/>
          <w:kern w:val="0"/>
          <w:sz w:val="20"/>
          <w:szCs w:val="20"/>
          <w:lang w:eastAsia="zh-CN"/>
          <w14:ligatures w14:val="none"/>
        </w:rPr>
        <w:t xml:space="preserve">Hybrid </w:t>
      </w:r>
      <w:r w:rsidRPr="00306E4B" w:rsidR="00E97758">
        <w:rPr>
          <w:rFonts w:ascii="Arial" w:hAnsi="Arial" w:eastAsia="SimSun" w:cs="Arial"/>
          <w:kern w:val="0"/>
          <w:sz w:val="20"/>
          <w:szCs w:val="20"/>
          <w:lang w:eastAsia="zh-CN"/>
          <w14:ligatures w14:val="none"/>
        </w:rPr>
        <w:t>high</w:t>
      </w:r>
      <w:r w:rsidRPr="00306E4B" w:rsidR="00E97758">
        <w:rPr>
          <w:rFonts w:ascii="Cambria Math" w:hAnsi="Cambria Math" w:eastAsia="SimSun" w:cs="Cambria Math"/>
          <w:kern w:val="0"/>
          <w:sz w:val="20"/>
          <w:szCs w:val="20"/>
          <w:lang w:eastAsia="zh-CN"/>
          <w14:ligatures w14:val="none"/>
        </w:rPr>
        <w:t>‐</w:t>
      </w:r>
      <w:r w:rsidRPr="00306E4B" w:rsidR="00E97758">
        <w:rPr>
          <w:rFonts w:ascii="Arial" w:hAnsi="Arial" w:eastAsia="SimSun" w:cs="Arial"/>
          <w:kern w:val="0"/>
          <w:sz w:val="20"/>
          <w:szCs w:val="20"/>
          <w:lang w:eastAsia="zh-CN"/>
          <w14:ligatures w14:val="none"/>
        </w:rPr>
        <w:t xml:space="preserve">protein yogurt made with partial replacement of milk proteins by pea proteins. </w:t>
      </w:r>
      <w:r w:rsidRPr="00306E4B" w:rsidR="00E97758">
        <w:rPr>
          <w:rFonts w:ascii="Arial" w:hAnsi="Arial" w:eastAsia="SimSun" w:cs="Arial"/>
          <w:i/>
          <w:iCs/>
          <w:kern w:val="0"/>
          <w:sz w:val="20"/>
          <w:szCs w:val="20"/>
          <w:lang w:eastAsia="zh-CN"/>
          <w14:ligatures w14:val="none"/>
        </w:rPr>
        <w:t>International Journal of Food Science &amp; Technology</w:t>
      </w:r>
      <w:r w:rsidRPr="00306E4B" w:rsidR="00E97758">
        <w:rPr>
          <w:rFonts w:ascii="Arial" w:hAnsi="Arial" w:eastAsia="SimSun" w:cs="Arial"/>
          <w:kern w:val="0"/>
          <w:sz w:val="20"/>
          <w:szCs w:val="20"/>
          <w:lang w:eastAsia="zh-CN"/>
          <w14:ligatures w14:val="none"/>
        </w:rPr>
        <w:t>, 59, 8806-8815.</w:t>
      </w:r>
    </w:p>
    <w:p w:rsidRPr="005E4D75" w:rsidR="005E4D75" w:rsidP="00FC532A" w:rsidRDefault="005E4D75" w14:paraId="61AD1F72" w14:textId="2D57E9F7">
      <w:pPr>
        <w:spacing w:after="0" w:line="276" w:lineRule="auto"/>
        <w:jc w:val="both"/>
        <w:rPr>
          <w:sz w:val="20"/>
          <w:szCs w:val="20"/>
        </w:rPr>
      </w:pPr>
      <w:r w:rsidRPr="00306E4B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306E4B">
        <w:rPr>
          <w:rFonts w:ascii="Arial" w:hAnsi="Arial" w:cs="Arial"/>
          <w:sz w:val="20"/>
          <w:szCs w:val="20"/>
        </w:rPr>
        <w:t>Grasberger</w:t>
      </w:r>
      <w:proofErr w:type="spellEnd"/>
      <w:r w:rsidRPr="00306E4B">
        <w:rPr>
          <w:rFonts w:ascii="Arial" w:hAnsi="Arial" w:cs="Arial"/>
          <w:sz w:val="20"/>
          <w:szCs w:val="20"/>
        </w:rPr>
        <w:t xml:space="preserve">, K. F., </w:t>
      </w:r>
      <w:proofErr w:type="spellStart"/>
      <w:r w:rsidRPr="00306E4B">
        <w:rPr>
          <w:rFonts w:ascii="Arial" w:hAnsi="Arial" w:cs="Arial"/>
          <w:sz w:val="20"/>
          <w:szCs w:val="20"/>
        </w:rPr>
        <w:t>Gregersen</w:t>
      </w:r>
      <w:proofErr w:type="spellEnd"/>
      <w:r w:rsidRPr="00306E4B">
        <w:rPr>
          <w:rFonts w:ascii="Arial" w:hAnsi="Arial" w:cs="Arial"/>
          <w:sz w:val="20"/>
          <w:szCs w:val="20"/>
        </w:rPr>
        <w:t xml:space="preserve">, S. B., Jensen, H. B., </w:t>
      </w:r>
      <w:proofErr w:type="spellStart"/>
      <w:r w:rsidRPr="00306E4B">
        <w:rPr>
          <w:rFonts w:ascii="Arial" w:hAnsi="Arial" w:cs="Arial"/>
          <w:sz w:val="20"/>
          <w:szCs w:val="20"/>
        </w:rPr>
        <w:t>Sanggaard</w:t>
      </w:r>
      <w:proofErr w:type="spellEnd"/>
      <w:r w:rsidRPr="00306E4B">
        <w:rPr>
          <w:rFonts w:ascii="Arial" w:hAnsi="Arial" w:cs="Arial"/>
          <w:sz w:val="20"/>
          <w:szCs w:val="20"/>
        </w:rPr>
        <w:t xml:space="preserve">, K. W. </w:t>
      </w:r>
      <w:r w:rsidRPr="00306E4B" w:rsidR="00215341">
        <w:rPr>
          <w:rFonts w:ascii="Arial" w:hAnsi="Arial" w:cs="Arial"/>
          <w:sz w:val="20"/>
          <w:szCs w:val="20"/>
        </w:rPr>
        <w:t>and</w:t>
      </w:r>
      <w:r w:rsidRPr="00306E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E4B">
        <w:rPr>
          <w:rFonts w:ascii="Arial" w:hAnsi="Arial" w:cs="Arial"/>
          <w:sz w:val="20"/>
          <w:szCs w:val="20"/>
        </w:rPr>
        <w:t>Corredig</w:t>
      </w:r>
      <w:proofErr w:type="spellEnd"/>
      <w:r w:rsidRPr="00306E4B">
        <w:rPr>
          <w:rFonts w:ascii="Arial" w:hAnsi="Arial" w:cs="Arial"/>
          <w:sz w:val="20"/>
          <w:szCs w:val="20"/>
        </w:rPr>
        <w:t>, M. (2021). Plant-dairy protein</w:t>
      </w:r>
      <w:r w:rsidRPr="00E81129">
        <w:rPr>
          <w:rFonts w:ascii="Arial" w:hAnsi="Arial" w:cs="Arial"/>
          <w:sz w:val="20"/>
          <w:szCs w:val="20"/>
        </w:rPr>
        <w:t xml:space="preserve"> blends: Gelation behaviour in a filled particle matrix.</w:t>
      </w:r>
      <w:r w:rsidR="008657E2">
        <w:rPr>
          <w:rFonts w:ascii="Arial" w:hAnsi="Arial" w:cs="Arial"/>
          <w:sz w:val="20"/>
          <w:szCs w:val="20"/>
        </w:rPr>
        <w:t xml:space="preserve"> </w:t>
      </w:r>
      <w:r w:rsidRPr="00E81129">
        <w:rPr>
          <w:rFonts w:ascii="Arial" w:hAnsi="Arial" w:cs="Arial"/>
          <w:i/>
          <w:iCs/>
          <w:sz w:val="20"/>
          <w:szCs w:val="20"/>
        </w:rPr>
        <w:t>Food Structure</w:t>
      </w:r>
      <w:r w:rsidRPr="00E81129">
        <w:rPr>
          <w:rFonts w:ascii="Arial" w:hAnsi="Arial" w:cs="Arial"/>
          <w:sz w:val="20"/>
          <w:szCs w:val="20"/>
        </w:rPr>
        <w:t>, 29, 100198.</w:t>
      </w:r>
    </w:p>
    <w:sectPr w:rsidRPr="005E4D75" w:rsidR="005E4D75" w:rsidSect="005E4D75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73"/>
    <w:rsid w:val="00090BC7"/>
    <w:rsid w:val="000B4DE2"/>
    <w:rsid w:val="000D7498"/>
    <w:rsid w:val="000F4907"/>
    <w:rsid w:val="001066D0"/>
    <w:rsid w:val="001507BE"/>
    <w:rsid w:val="00195BD0"/>
    <w:rsid w:val="001C2B1C"/>
    <w:rsid w:val="00214C46"/>
    <w:rsid w:val="00215341"/>
    <w:rsid w:val="00215EEE"/>
    <w:rsid w:val="00280E5E"/>
    <w:rsid w:val="002C19D9"/>
    <w:rsid w:val="002C6188"/>
    <w:rsid w:val="002C6859"/>
    <w:rsid w:val="00306E4B"/>
    <w:rsid w:val="00342719"/>
    <w:rsid w:val="00386273"/>
    <w:rsid w:val="00535F3C"/>
    <w:rsid w:val="0054461D"/>
    <w:rsid w:val="00571A39"/>
    <w:rsid w:val="00581693"/>
    <w:rsid w:val="005E3DBC"/>
    <w:rsid w:val="005E4D75"/>
    <w:rsid w:val="005F02B0"/>
    <w:rsid w:val="006031FE"/>
    <w:rsid w:val="00667B86"/>
    <w:rsid w:val="00683458"/>
    <w:rsid w:val="006B639B"/>
    <w:rsid w:val="006E2B7A"/>
    <w:rsid w:val="006F0ECB"/>
    <w:rsid w:val="00700BD2"/>
    <w:rsid w:val="00721270"/>
    <w:rsid w:val="00761A4F"/>
    <w:rsid w:val="00786B2A"/>
    <w:rsid w:val="00792537"/>
    <w:rsid w:val="007A5BDC"/>
    <w:rsid w:val="007B035F"/>
    <w:rsid w:val="007B1360"/>
    <w:rsid w:val="007F24A6"/>
    <w:rsid w:val="007F526B"/>
    <w:rsid w:val="008657E2"/>
    <w:rsid w:val="00900FDC"/>
    <w:rsid w:val="0091510E"/>
    <w:rsid w:val="009417EC"/>
    <w:rsid w:val="00946C38"/>
    <w:rsid w:val="00B06360"/>
    <w:rsid w:val="00B37850"/>
    <w:rsid w:val="00B60186"/>
    <w:rsid w:val="00BC1FD6"/>
    <w:rsid w:val="00BC486E"/>
    <w:rsid w:val="00BD2830"/>
    <w:rsid w:val="00BF6C2A"/>
    <w:rsid w:val="00C01796"/>
    <w:rsid w:val="00C2441C"/>
    <w:rsid w:val="00C41BAB"/>
    <w:rsid w:val="00CA4444"/>
    <w:rsid w:val="00CC1DCA"/>
    <w:rsid w:val="00D74413"/>
    <w:rsid w:val="00DB1FA6"/>
    <w:rsid w:val="00DE7D3F"/>
    <w:rsid w:val="00DF5A84"/>
    <w:rsid w:val="00E5671D"/>
    <w:rsid w:val="00E81129"/>
    <w:rsid w:val="00E97758"/>
    <w:rsid w:val="00ED6528"/>
    <w:rsid w:val="00F027C3"/>
    <w:rsid w:val="00F2451F"/>
    <w:rsid w:val="00F25937"/>
    <w:rsid w:val="00F365DA"/>
    <w:rsid w:val="00F46141"/>
    <w:rsid w:val="00F6228E"/>
    <w:rsid w:val="00F8263C"/>
    <w:rsid w:val="00F83894"/>
    <w:rsid w:val="00FC532A"/>
    <w:rsid w:val="00FD44CC"/>
    <w:rsid w:val="603BE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CF078"/>
  <w15:chartTrackingRefBased/>
  <w15:docId w15:val="{E314C141-9187-426D-90D0-A9E158F7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D2830"/>
  </w:style>
  <w:style w:type="paragraph" w:styleId="Titolo1">
    <w:name w:val="heading 1"/>
    <w:basedOn w:val="Normale"/>
    <w:next w:val="Normale"/>
    <w:link w:val="Titolo1Carattere"/>
    <w:uiPriority w:val="9"/>
    <w:qFormat/>
    <w:rsid w:val="0038627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27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38627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38627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38627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386273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86273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86273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386273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386273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3862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27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38627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8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273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862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2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2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27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862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273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761A4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71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1A39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571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1A39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Giulia Di Filippo</dc:creator>
  <keywords/>
  <dc:description/>
  <lastModifiedBy>Giulia  Di Filippo</lastModifiedBy>
  <revision>22</revision>
  <dcterms:created xsi:type="dcterms:W3CDTF">2024-12-18T11:33:00.0000000Z</dcterms:created>
  <dcterms:modified xsi:type="dcterms:W3CDTF">2024-12-30T20:23:28.2295176Z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8b0f95c639ccb4f8c203459fc3a9a01a9fab2a6968519730c989d57ff5ee287e</vt:lpwstr>
  </property>
</Properties>
</file>