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F016" w14:textId="67775E35" w:rsidR="009A0DC3" w:rsidRDefault="009A0DC3" w:rsidP="00C2196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C21969">
        <w:rPr>
          <w:rFonts w:ascii="Arial" w:hAnsi="Arial" w:cs="Arial"/>
          <w:b/>
          <w:bCs/>
          <w:sz w:val="32"/>
          <w:szCs w:val="32"/>
          <w:lang w:val="en-GB"/>
        </w:rPr>
        <w:t xml:space="preserve">Stabilization of 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g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>luten-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f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 xml:space="preserve">ree 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s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>tarch-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b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 xml:space="preserve">ased 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model s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 xml:space="preserve">ystems via 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a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>rabinoxylan-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p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 xml:space="preserve">rotein </w:t>
      </w:r>
      <w:r w:rsidR="00C8707A" w:rsidRPr="00C21969">
        <w:rPr>
          <w:rFonts w:ascii="Arial" w:hAnsi="Arial" w:cs="Arial"/>
          <w:b/>
          <w:bCs/>
          <w:sz w:val="32"/>
          <w:szCs w:val="32"/>
          <w:lang w:val="en-GB"/>
        </w:rPr>
        <w:t>n</w:t>
      </w:r>
      <w:r w:rsidRPr="00C21969">
        <w:rPr>
          <w:rFonts w:ascii="Arial" w:hAnsi="Arial" w:cs="Arial"/>
          <w:b/>
          <w:bCs/>
          <w:sz w:val="32"/>
          <w:szCs w:val="32"/>
          <w:lang w:val="en-GB"/>
        </w:rPr>
        <w:t>etworks</w:t>
      </w:r>
    </w:p>
    <w:p w14:paraId="6965FA3B" w14:textId="77777777" w:rsidR="00C21969" w:rsidRPr="00C21969" w:rsidRDefault="00C21969" w:rsidP="00C2196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AD52CD1" w14:textId="79A84F1D" w:rsidR="00C8707A" w:rsidRDefault="00C8707A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21969">
        <w:rPr>
          <w:rFonts w:ascii="Times New Roman" w:hAnsi="Times New Roman" w:cs="Times New Roman"/>
          <w:sz w:val="24"/>
          <w:szCs w:val="24"/>
          <w:u w:val="single"/>
          <w:lang w:val="de-AT"/>
        </w:rPr>
        <w:t>Ulrich Sukop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1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Pr="00C21969">
        <w:rPr>
          <w:rFonts w:ascii="Times New Roman" w:hAnsi="Times New Roman" w:cs="Times New Roman"/>
          <w:sz w:val="24"/>
          <w:szCs w:val="24"/>
          <w:lang w:val="de-AT"/>
        </w:rPr>
        <w:t>Denisse</w:t>
      </w:r>
      <w:proofErr w:type="spellEnd"/>
      <w:r w:rsidRPr="00C21969">
        <w:rPr>
          <w:rFonts w:ascii="Times New Roman" w:hAnsi="Times New Roman" w:cs="Times New Roman"/>
          <w:sz w:val="24"/>
          <w:szCs w:val="24"/>
          <w:lang w:val="de-AT"/>
        </w:rPr>
        <w:t xml:space="preserve"> Bender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1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>, Stefano D‘Amico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2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>, Mario Jekle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3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>, Regine Schönlechner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4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>, Konrad J. Domig</w:t>
      </w:r>
      <w:r w:rsidRPr="00C21969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1</w:t>
      </w:r>
      <w:r w:rsidRPr="00C2196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14:paraId="48EFF46F" w14:textId="77777777" w:rsidR="00C21969" w:rsidRPr="00C21969" w:rsidRDefault="00C21969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F252B4A" w14:textId="226F2537" w:rsidR="00C8707A" w:rsidRPr="00C21969" w:rsidRDefault="00C8707A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2196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1</w:t>
      </w:r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Department of Biotechnology and Food Science, Institute of Food Science, University of Natural Resources and Life Sciences, Vienna, </w:t>
      </w:r>
      <w:proofErr w:type="spellStart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>Muthgasse</w:t>
      </w:r>
      <w:proofErr w:type="spellEnd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18, 1190, Vienna, Austria</w:t>
      </w:r>
    </w:p>
    <w:p w14:paraId="1FFA75F3" w14:textId="143765B5" w:rsidR="00C8707A" w:rsidRPr="00C21969" w:rsidRDefault="00C8707A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2196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 w:rsidRPr="00C2196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 w:eastAsia="de-DE"/>
        </w:rPr>
        <w:t xml:space="preserve">Departement for Feed Analysis and Quality Testing, </w:t>
      </w:r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Institute for Animal Nutrition and Feed, AGES – Austrian Agency for Health and Food Safety, </w:t>
      </w:r>
      <w:proofErr w:type="spellStart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>Spargelfeldstraße</w:t>
      </w:r>
      <w:proofErr w:type="spellEnd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191, 1220, Vienna, Austria</w:t>
      </w:r>
    </w:p>
    <w:p w14:paraId="668BAA5D" w14:textId="77777777" w:rsidR="00C8707A" w:rsidRPr="00C21969" w:rsidRDefault="00C8707A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2196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3</w:t>
      </w:r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Department of Plant-based Foods, University of Hohenheim, Stuttgart, </w:t>
      </w:r>
      <w:proofErr w:type="spellStart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>Garbenstraße</w:t>
      </w:r>
      <w:proofErr w:type="spellEnd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25, 70599, Stuttgart, Germany</w:t>
      </w:r>
    </w:p>
    <w:p w14:paraId="1713AFBE" w14:textId="38812B8E" w:rsidR="00C8707A" w:rsidRDefault="00C8707A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2196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4</w:t>
      </w:r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Department of Biotechnology and Food Science, Institute of Food Technology, University of Natural Resources and Life Sciences, Vienna, </w:t>
      </w:r>
      <w:proofErr w:type="spellStart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>Muthgasse</w:t>
      </w:r>
      <w:proofErr w:type="spellEnd"/>
      <w:r w:rsidRPr="00C219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18, 1190, Vienna, Austria</w:t>
      </w:r>
    </w:p>
    <w:p w14:paraId="4E70A946" w14:textId="531AAF3B" w:rsidR="00C21969" w:rsidRDefault="00C21969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1C14B3E" w14:textId="77777777" w:rsidR="00C21969" w:rsidRPr="00C21969" w:rsidRDefault="00C21969" w:rsidP="00C21969">
      <w:pPr>
        <w:tabs>
          <w:tab w:val="left" w:pos="10065"/>
        </w:tabs>
        <w:spacing w:after="0" w:line="240" w:lineRule="auto"/>
        <w:ind w:right="10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204FD30" w14:textId="3E14DDE1" w:rsidR="009A0DC3" w:rsidRPr="00C21969" w:rsidRDefault="009A0DC3" w:rsidP="00C2196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C21969">
        <w:rPr>
          <w:rFonts w:ascii="Arial" w:hAnsi="Arial" w:cs="Arial"/>
          <w:sz w:val="22"/>
          <w:szCs w:val="22"/>
          <w:lang w:val="en-GB"/>
        </w:rPr>
        <w:t>The increasing prevalence of gluten-related disorders and the rising demand for gluten-free (GF) products requires innovative strategies to enhance their structural and functional properties. One promising approach involves the network-formation of cereal arabinoxylans (AX) and proteins, facilitated by interactions between their key functional groups (polyphenolics, tyrosine, cysteine). However, the extent of these cross-linking reactions and their influence on the textural properties of GF systems remain insufficiently understood.</w:t>
      </w:r>
    </w:p>
    <w:p w14:paraId="5471E1B2" w14:textId="7B5B15F0" w:rsidR="009A0DC3" w:rsidRPr="00C21969" w:rsidRDefault="009A0DC3" w:rsidP="00C2196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C21969">
        <w:rPr>
          <w:rFonts w:ascii="Arial" w:hAnsi="Arial" w:cs="Arial"/>
          <w:sz w:val="22"/>
          <w:szCs w:val="22"/>
          <w:lang w:val="en-GB"/>
        </w:rPr>
        <w:t>In this study, commercially available (c. AX) and self-extracted (s. AX) arabinoxylan extracts</w:t>
      </w:r>
      <w:r w:rsidR="002A1908">
        <w:rPr>
          <w:rFonts w:ascii="Arial" w:hAnsi="Arial" w:cs="Arial"/>
          <w:sz w:val="22"/>
          <w:szCs w:val="22"/>
          <w:lang w:val="en-GB"/>
        </w:rPr>
        <w:t xml:space="preserve"> (2,6 % based on starch content)</w:t>
      </w:r>
      <w:r w:rsidRPr="00C21969">
        <w:rPr>
          <w:rFonts w:ascii="Arial" w:hAnsi="Arial" w:cs="Arial"/>
          <w:sz w:val="22"/>
          <w:szCs w:val="22"/>
          <w:lang w:val="en-GB"/>
        </w:rPr>
        <w:t>, along with corn gluten meal (CGM)</w:t>
      </w:r>
      <w:r w:rsidR="002A1908">
        <w:rPr>
          <w:rFonts w:ascii="Arial" w:hAnsi="Arial" w:cs="Arial"/>
          <w:sz w:val="22"/>
          <w:szCs w:val="22"/>
          <w:lang w:val="en-GB"/>
        </w:rPr>
        <w:t xml:space="preserve"> (3 % based on starch content)</w:t>
      </w:r>
      <w:r w:rsidRPr="00C21969">
        <w:rPr>
          <w:rFonts w:ascii="Arial" w:hAnsi="Arial" w:cs="Arial"/>
          <w:sz w:val="22"/>
          <w:szCs w:val="22"/>
          <w:lang w:val="en-GB"/>
        </w:rPr>
        <w:t xml:space="preserve">, were incorporated into GF starch-based systems (pH 5.5, </w:t>
      </w:r>
      <w:r w:rsidR="002A1908">
        <w:rPr>
          <w:rFonts w:ascii="Arial" w:hAnsi="Arial" w:cs="Arial"/>
          <w:sz w:val="22"/>
          <w:szCs w:val="22"/>
          <w:lang w:val="en-GB"/>
        </w:rPr>
        <w:t xml:space="preserve">1:1 ratio of maize starch and buffer, </w:t>
      </w:r>
      <w:r w:rsidR="002A1908" w:rsidRPr="00C21969">
        <w:rPr>
          <w:rFonts w:ascii="Arial" w:hAnsi="Arial" w:cs="Arial"/>
          <w:sz w:val="22"/>
          <w:szCs w:val="22"/>
          <w:lang w:val="en-GB"/>
        </w:rPr>
        <w:t>25 °C</w:t>
      </w:r>
      <w:r w:rsidRPr="00C21969">
        <w:rPr>
          <w:rFonts w:ascii="Arial" w:hAnsi="Arial" w:cs="Arial"/>
          <w:sz w:val="22"/>
          <w:szCs w:val="22"/>
          <w:lang w:val="en-GB"/>
        </w:rPr>
        <w:t>) and subjected to enzymatic treatment with laccase (0.5</w:t>
      </w:r>
      <w:r w:rsidR="00065ADD" w:rsidRPr="00C21969">
        <w:rPr>
          <w:rFonts w:ascii="Arial" w:hAnsi="Arial" w:cs="Arial"/>
          <w:sz w:val="22"/>
          <w:szCs w:val="22"/>
          <w:lang w:val="en-GB"/>
        </w:rPr>
        <w:t> </w:t>
      </w:r>
      <w:r w:rsidRPr="00C21969">
        <w:rPr>
          <w:rFonts w:ascii="Arial" w:hAnsi="Arial" w:cs="Arial"/>
          <w:sz w:val="22"/>
          <w:szCs w:val="22"/>
          <w:lang w:val="en-GB"/>
        </w:rPr>
        <w:t xml:space="preserve">U/mg substrate). Rheological evaluations, including amplitude </w:t>
      </w:r>
      <w:r w:rsidR="002A1908">
        <w:rPr>
          <w:rFonts w:ascii="Arial" w:hAnsi="Arial" w:cs="Arial"/>
          <w:sz w:val="22"/>
          <w:szCs w:val="22"/>
          <w:lang w:val="en-GB"/>
        </w:rPr>
        <w:t xml:space="preserve">(γ=0.01-100 %, 1 Hz) </w:t>
      </w:r>
      <w:r w:rsidRPr="00C21969">
        <w:rPr>
          <w:rFonts w:ascii="Arial" w:hAnsi="Arial" w:cs="Arial"/>
          <w:sz w:val="22"/>
          <w:szCs w:val="22"/>
          <w:lang w:val="en-GB"/>
        </w:rPr>
        <w:t>and time sweeps</w:t>
      </w:r>
      <w:r w:rsidR="002A1908">
        <w:rPr>
          <w:rFonts w:ascii="Arial" w:hAnsi="Arial" w:cs="Arial"/>
          <w:sz w:val="22"/>
          <w:szCs w:val="22"/>
          <w:lang w:val="en-GB"/>
        </w:rPr>
        <w:t xml:space="preserve"> (γ=0.02 </w:t>
      </w:r>
      <w:r w:rsidR="00027575">
        <w:rPr>
          <w:rFonts w:ascii="Arial" w:hAnsi="Arial" w:cs="Arial"/>
          <w:sz w:val="22"/>
          <w:szCs w:val="22"/>
          <w:lang w:val="en-GB"/>
        </w:rPr>
        <w:t>%, 1 Hz, 30 min)</w:t>
      </w:r>
      <w:r w:rsidRPr="00C21969">
        <w:rPr>
          <w:rFonts w:ascii="Arial" w:hAnsi="Arial" w:cs="Arial"/>
          <w:sz w:val="22"/>
          <w:szCs w:val="22"/>
          <w:lang w:val="en-GB"/>
        </w:rPr>
        <w:t xml:space="preserve">, demonstrated that s. AX exhibited significantly higher storage modulus (G') values compared to c. AX. This indicated greater shear stability and continuous cross-linking over time. The superior performance of s. AX </w:t>
      </w:r>
      <w:r w:rsidR="005F1107" w:rsidRPr="00C21969">
        <w:rPr>
          <w:rFonts w:ascii="Arial" w:hAnsi="Arial" w:cs="Arial"/>
          <w:sz w:val="22"/>
          <w:szCs w:val="22"/>
          <w:lang w:val="en-GB"/>
        </w:rPr>
        <w:t>could be</w:t>
      </w:r>
      <w:r w:rsidRPr="00C21969">
        <w:rPr>
          <w:rFonts w:ascii="Arial" w:hAnsi="Arial" w:cs="Arial"/>
          <w:sz w:val="22"/>
          <w:szCs w:val="22"/>
          <w:lang w:val="en-GB"/>
        </w:rPr>
        <w:t xml:space="preserve"> attributed to its higher phenolic content, which additionally enhanced the enzymatic cross-linking response, resulting in a more robust and stable network. Additionally, s. AX displayed more effective interactions with CGM than c. AX, further contributing to network formation.</w:t>
      </w:r>
    </w:p>
    <w:p w14:paraId="54A7D1F4" w14:textId="68A2E7B7" w:rsidR="00AC0F88" w:rsidRPr="00C21969" w:rsidRDefault="009A0DC3" w:rsidP="00C2196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C21969">
        <w:rPr>
          <w:rFonts w:ascii="Arial" w:hAnsi="Arial" w:cs="Arial"/>
          <w:sz w:val="22"/>
          <w:szCs w:val="22"/>
          <w:lang w:val="en-GB"/>
        </w:rPr>
        <w:t>Future research will focus on integrating these AX-protein networks into complex GF dough formulations to evaluate their impact on gas retention, baking stability, and the textural properties of model GF breads.</w:t>
      </w:r>
    </w:p>
    <w:sectPr w:rsidR="00AC0F88" w:rsidRPr="00C21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E9"/>
    <w:rsid w:val="00027575"/>
    <w:rsid w:val="00065ADD"/>
    <w:rsid w:val="00103981"/>
    <w:rsid w:val="001C7EE6"/>
    <w:rsid w:val="001F5378"/>
    <w:rsid w:val="002A1908"/>
    <w:rsid w:val="003D7D43"/>
    <w:rsid w:val="00425EE9"/>
    <w:rsid w:val="00562865"/>
    <w:rsid w:val="005E0A06"/>
    <w:rsid w:val="005E1563"/>
    <w:rsid w:val="005F1107"/>
    <w:rsid w:val="0062367F"/>
    <w:rsid w:val="00625CFB"/>
    <w:rsid w:val="008502B6"/>
    <w:rsid w:val="009A0DC3"/>
    <w:rsid w:val="009D5A35"/>
    <w:rsid w:val="00AC0F88"/>
    <w:rsid w:val="00C21969"/>
    <w:rsid w:val="00C8707A"/>
    <w:rsid w:val="00E82294"/>
    <w:rsid w:val="00E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990B"/>
  <w15:chartTrackingRefBased/>
  <w15:docId w15:val="{01103260-1BB2-4833-9E4D-01DF41D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2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C0F88"/>
    <w:rPr>
      <w:b/>
      <w:bCs/>
    </w:rPr>
  </w:style>
  <w:style w:type="character" w:styleId="Hervorhebung">
    <w:name w:val="Emphasis"/>
    <w:basedOn w:val="Absatz-Standardschriftart"/>
    <w:uiPriority w:val="20"/>
    <w:qFormat/>
    <w:rsid w:val="00AC0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für Bodenkultur Wien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Sukop</dc:creator>
  <cp:keywords/>
  <dc:description/>
  <cp:lastModifiedBy>Ulrich Sukop</cp:lastModifiedBy>
  <cp:revision>8</cp:revision>
  <dcterms:created xsi:type="dcterms:W3CDTF">2024-12-31T09:58:00Z</dcterms:created>
  <dcterms:modified xsi:type="dcterms:W3CDTF">2024-12-31T10:26:00Z</dcterms:modified>
</cp:coreProperties>
</file>