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1D33" w14:textId="7BEE9F5D" w:rsidR="00DB5DA7" w:rsidRDefault="00C54026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Thicker than water</w:t>
      </w:r>
      <w:r w:rsidR="005E27C0">
        <w:rPr>
          <w:rFonts w:ascii="Arial" w:hAnsi="Arial" w:cs="Arial"/>
          <w:b/>
          <w:bCs/>
          <w:sz w:val="32"/>
          <w:szCs w:val="32"/>
          <w:lang w:val="en-GB"/>
        </w:rPr>
        <w:t xml:space="preserve">: 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exploring the diverse relatives of </w:t>
      </w:r>
      <w:r w:rsidRPr="00C5402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Plantago ovata </w:t>
      </w:r>
      <w:r>
        <w:rPr>
          <w:rFonts w:ascii="Arial" w:hAnsi="Arial" w:cs="Arial"/>
          <w:b/>
          <w:bCs/>
          <w:sz w:val="32"/>
          <w:szCs w:val="32"/>
          <w:lang w:val="en-GB"/>
        </w:rPr>
        <w:t>to address the narrow</w:t>
      </w:r>
      <w:r w:rsidR="00EF4605">
        <w:rPr>
          <w:rFonts w:ascii="Arial" w:hAnsi="Arial" w:cs="Arial"/>
          <w:b/>
          <w:bCs/>
          <w:sz w:val="32"/>
          <w:szCs w:val="32"/>
          <w:lang w:val="en-GB"/>
        </w:rPr>
        <w:t xml:space="preserve"> hydrocolloid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functionality of psyllium in food and the gut</w:t>
      </w:r>
    </w:p>
    <w:p w14:paraId="679FE7BF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C8A6964" w14:textId="55B4D6AD" w:rsidR="00DB5DA7" w:rsidRDefault="000B3E23">
      <w:pPr>
        <w:jc w:val="both"/>
        <w:rPr>
          <w:sz w:val="24"/>
          <w:szCs w:val="24"/>
          <w:lang w:val="en-GB"/>
        </w:rPr>
      </w:pPr>
      <w:r w:rsidRPr="009443F4">
        <w:rPr>
          <w:sz w:val="24"/>
          <w:szCs w:val="24"/>
          <w:u w:val="single"/>
          <w:lang w:val="en-GB"/>
        </w:rPr>
        <w:t>JM Cowley</w:t>
      </w:r>
      <w:r w:rsidR="00DB5DA7" w:rsidRPr="009443F4">
        <w:rPr>
          <w:sz w:val="24"/>
          <w:szCs w:val="24"/>
          <w:u w:val="single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L Strkalj</w:t>
      </w:r>
      <w:r w:rsidR="00DB5DA7"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vertAlign w:val="superscript"/>
          <w:lang w:val="en-GB"/>
        </w:rPr>
        <w:t>,2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GE Yakubov</w:t>
      </w:r>
      <w:r w:rsidR="00DB5DA7">
        <w:rPr>
          <w:sz w:val="24"/>
          <w:szCs w:val="24"/>
          <w:vertAlign w:val="superscript"/>
          <w:lang w:val="en-GB"/>
        </w:rPr>
        <w:t>2</w:t>
      </w:r>
      <w:r>
        <w:rPr>
          <w:sz w:val="24"/>
          <w:szCs w:val="24"/>
          <w:lang w:val="en-GB"/>
        </w:rPr>
        <w:t xml:space="preserve">, </w:t>
      </w:r>
      <w:r w:rsidR="00BC1D99">
        <w:rPr>
          <w:sz w:val="24"/>
          <w:szCs w:val="24"/>
          <w:lang w:val="en-GB"/>
        </w:rPr>
        <w:t>TJ Foster</w:t>
      </w:r>
      <w:r w:rsidR="00DB5DA7">
        <w:rPr>
          <w:sz w:val="24"/>
          <w:szCs w:val="24"/>
          <w:vertAlign w:val="superscript"/>
          <w:lang w:val="en-GB"/>
        </w:rPr>
        <w:t>2</w:t>
      </w:r>
      <w:r w:rsidRPr="000B3E2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and </w:t>
      </w:r>
      <w:r w:rsidR="00BC1D99">
        <w:rPr>
          <w:sz w:val="24"/>
          <w:szCs w:val="24"/>
          <w:lang w:val="en-GB"/>
        </w:rPr>
        <w:t>RA Burton</w:t>
      </w:r>
      <w:r w:rsidR="00BC1D99">
        <w:rPr>
          <w:sz w:val="24"/>
          <w:szCs w:val="24"/>
          <w:vertAlign w:val="superscript"/>
          <w:lang w:val="en-GB"/>
        </w:rPr>
        <w:t>1</w:t>
      </w:r>
    </w:p>
    <w:p w14:paraId="64FA2DD1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6CBC9AF1" w14:textId="4500C13B"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BC1D99">
        <w:rPr>
          <w:i/>
          <w:iCs/>
          <w:sz w:val="24"/>
          <w:szCs w:val="24"/>
          <w:lang w:val="en-GB"/>
        </w:rPr>
        <w:t xml:space="preserve">Discipline of Food Science, School of Agriculture, Food and Wine, </w:t>
      </w:r>
      <w:r w:rsidR="00BC1D99" w:rsidRPr="00BC1D99">
        <w:rPr>
          <w:i/>
          <w:iCs/>
          <w:sz w:val="24"/>
          <w:szCs w:val="24"/>
          <w:lang w:val="en-GB"/>
        </w:rPr>
        <w:t xml:space="preserve">University of Adelaide, </w:t>
      </w:r>
      <w:proofErr w:type="spellStart"/>
      <w:r w:rsidR="00BC1D99">
        <w:rPr>
          <w:i/>
          <w:iCs/>
          <w:sz w:val="24"/>
          <w:szCs w:val="24"/>
          <w:lang w:val="en-GB"/>
        </w:rPr>
        <w:t>Urrbrae</w:t>
      </w:r>
      <w:proofErr w:type="spellEnd"/>
      <w:r w:rsidR="00BC1D99" w:rsidRPr="00BC1D99">
        <w:rPr>
          <w:i/>
          <w:iCs/>
          <w:sz w:val="24"/>
          <w:szCs w:val="24"/>
          <w:lang w:val="en-GB"/>
        </w:rPr>
        <w:t>, South Australia, Australia</w:t>
      </w:r>
    </w:p>
    <w:p w14:paraId="65CAA6B8" w14:textId="0527B625" w:rsidR="00BC1D99" w:rsidRPr="00BC1D99" w:rsidRDefault="00DB5DA7" w:rsidP="00BC1D99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BC1D99" w:rsidRPr="00BC1D99">
        <w:t xml:space="preserve"> </w:t>
      </w:r>
      <w:r w:rsidR="00BC1D99" w:rsidRPr="00BC1D99">
        <w:rPr>
          <w:i/>
          <w:iCs/>
          <w:sz w:val="24"/>
          <w:szCs w:val="24"/>
          <w:lang w:val="en-US"/>
        </w:rPr>
        <w:t xml:space="preserve">Soft Matter Biomaterials and </w:t>
      </w:r>
      <w:proofErr w:type="spellStart"/>
      <w:r w:rsidR="00BC1D99" w:rsidRPr="00BC1D99">
        <w:rPr>
          <w:i/>
          <w:iCs/>
          <w:sz w:val="24"/>
          <w:szCs w:val="24"/>
          <w:lang w:val="en-US"/>
        </w:rPr>
        <w:t>Biointerfaces</w:t>
      </w:r>
      <w:proofErr w:type="spellEnd"/>
      <w:r w:rsidR="00BC1D99" w:rsidRPr="00BC1D99">
        <w:rPr>
          <w:i/>
          <w:iCs/>
          <w:sz w:val="24"/>
          <w:szCs w:val="24"/>
          <w:lang w:val="en-US"/>
        </w:rPr>
        <w:t xml:space="preserve">, Food Structure and Biomaterials Group, </w:t>
      </w:r>
    </w:p>
    <w:p w14:paraId="2A6AC7CC" w14:textId="77777777" w:rsidR="00BC1D99" w:rsidRPr="00BC1D99" w:rsidRDefault="00BC1D99" w:rsidP="00BC1D99">
      <w:pPr>
        <w:jc w:val="both"/>
        <w:rPr>
          <w:i/>
          <w:iCs/>
          <w:sz w:val="24"/>
          <w:szCs w:val="24"/>
          <w:lang w:val="en-US"/>
        </w:rPr>
      </w:pPr>
      <w:r w:rsidRPr="00BC1D99">
        <w:rPr>
          <w:i/>
          <w:iCs/>
          <w:sz w:val="24"/>
          <w:szCs w:val="24"/>
          <w:lang w:val="en-US"/>
        </w:rPr>
        <w:t xml:space="preserve">School of Biosciences, University of Nottingham, Sutton Bonington LE12 5RD, United </w:t>
      </w:r>
    </w:p>
    <w:p w14:paraId="2B636F31" w14:textId="54A93EE2" w:rsidR="00DB5DA7" w:rsidRDefault="00BC1D99" w:rsidP="00BC1D99">
      <w:pPr>
        <w:jc w:val="both"/>
        <w:rPr>
          <w:i/>
          <w:iCs/>
          <w:sz w:val="24"/>
          <w:szCs w:val="24"/>
          <w:lang w:val="en-US"/>
        </w:rPr>
      </w:pPr>
      <w:r w:rsidRPr="00BC1D99">
        <w:rPr>
          <w:i/>
          <w:iCs/>
          <w:sz w:val="24"/>
          <w:szCs w:val="24"/>
          <w:lang w:val="en-US"/>
        </w:rPr>
        <w:t>Kingdom</w:t>
      </w:r>
      <w:r w:rsidRPr="00BC1D99">
        <w:rPr>
          <w:i/>
          <w:iCs/>
          <w:sz w:val="24"/>
          <w:szCs w:val="24"/>
          <w:lang w:val="en-US"/>
        </w:rPr>
        <w:cr/>
      </w:r>
    </w:p>
    <w:p w14:paraId="6F0FE790" w14:textId="60F6A9C4" w:rsidR="00C32619" w:rsidRDefault="00C54026" w:rsidP="009443F4">
      <w:pPr>
        <w:pStyle w:val="BodyText"/>
        <w:jc w:val="both"/>
        <w:rPr>
          <w:sz w:val="22"/>
          <w:szCs w:val="22"/>
          <w:lang w:val="en-GB"/>
        </w:rPr>
      </w:pPr>
      <w:r w:rsidRPr="00C54026">
        <w:rPr>
          <w:sz w:val="22"/>
          <w:szCs w:val="22"/>
          <w:lang w:val="en-GB"/>
        </w:rPr>
        <w:t>Psyllium husk</w:t>
      </w:r>
      <w:r>
        <w:rPr>
          <w:sz w:val="22"/>
          <w:szCs w:val="22"/>
          <w:lang w:val="en-GB"/>
        </w:rPr>
        <w:t xml:space="preserve"> (PH), </w:t>
      </w:r>
      <w:r w:rsidR="00EF4605">
        <w:rPr>
          <w:sz w:val="22"/>
          <w:szCs w:val="22"/>
          <w:lang w:val="en-GB"/>
        </w:rPr>
        <w:t xml:space="preserve">a heteroxylan (HX)-rich material </w:t>
      </w:r>
      <w:r w:rsidRPr="00C54026">
        <w:rPr>
          <w:sz w:val="22"/>
          <w:szCs w:val="22"/>
          <w:lang w:val="en-GB"/>
        </w:rPr>
        <w:t xml:space="preserve">milled </w:t>
      </w:r>
      <w:r>
        <w:rPr>
          <w:sz w:val="22"/>
          <w:szCs w:val="22"/>
          <w:lang w:val="en-GB"/>
        </w:rPr>
        <w:t xml:space="preserve">from the surface </w:t>
      </w:r>
      <w:r w:rsidRPr="00C54026">
        <w:rPr>
          <w:sz w:val="22"/>
          <w:szCs w:val="22"/>
          <w:lang w:val="en-GB"/>
        </w:rPr>
        <w:t xml:space="preserve">of </w:t>
      </w:r>
      <w:r w:rsidRPr="00C54026">
        <w:rPr>
          <w:i/>
          <w:iCs/>
          <w:sz w:val="22"/>
          <w:szCs w:val="22"/>
          <w:lang w:val="en-GB"/>
        </w:rPr>
        <w:t>Plantago ovata</w:t>
      </w:r>
      <w:r w:rsidRPr="00C54026">
        <w:rPr>
          <w:sz w:val="22"/>
          <w:szCs w:val="22"/>
          <w:lang w:val="en-GB"/>
        </w:rPr>
        <w:t xml:space="preserve"> seeds, is known for its high viscosity and gelling capacity making it a widespread </w:t>
      </w:r>
      <w:r w:rsidR="00C32619">
        <w:rPr>
          <w:sz w:val="22"/>
          <w:szCs w:val="22"/>
          <w:lang w:val="en-GB"/>
        </w:rPr>
        <w:t>fibre</w:t>
      </w:r>
      <w:r w:rsidRPr="00C54026">
        <w:rPr>
          <w:sz w:val="22"/>
          <w:szCs w:val="22"/>
          <w:lang w:val="en-GB"/>
        </w:rPr>
        <w:t xml:space="preserve"> supplement </w:t>
      </w:r>
      <w:r w:rsidR="00C32619">
        <w:rPr>
          <w:sz w:val="22"/>
          <w:szCs w:val="22"/>
          <w:lang w:val="en-GB"/>
        </w:rPr>
        <w:t>and hydrocolloid</w:t>
      </w:r>
      <w:r>
        <w:rPr>
          <w:sz w:val="22"/>
          <w:szCs w:val="22"/>
          <w:lang w:val="en-GB"/>
        </w:rPr>
        <w:t xml:space="preserve"> in foods</w:t>
      </w:r>
      <w:r w:rsidRPr="00C54026">
        <w:rPr>
          <w:sz w:val="22"/>
          <w:szCs w:val="22"/>
          <w:lang w:val="en-GB"/>
        </w:rPr>
        <w:t>.</w:t>
      </w:r>
      <w:r w:rsidR="00EF4605">
        <w:rPr>
          <w:sz w:val="22"/>
          <w:szCs w:val="22"/>
          <w:lang w:val="en-GB"/>
        </w:rPr>
        <w:t xml:space="preserve"> </w:t>
      </w:r>
      <w:r w:rsidR="00C32619" w:rsidRPr="00C32619">
        <w:rPr>
          <w:sz w:val="22"/>
          <w:szCs w:val="22"/>
          <w:lang w:val="en-GB"/>
        </w:rPr>
        <w:t xml:space="preserve">However, PH applications face challenges, including hydration adjustment difficulties and sensory issues like gumminess. These arise from HX's unique rheological and water-holding </w:t>
      </w:r>
      <w:r w:rsidR="002F7DC4" w:rsidRPr="00C32619">
        <w:rPr>
          <w:sz w:val="22"/>
          <w:szCs w:val="22"/>
          <w:lang w:val="en-GB"/>
        </w:rPr>
        <w:t>behaviours</w:t>
      </w:r>
      <w:r w:rsidR="00C32619" w:rsidRPr="00C32619">
        <w:rPr>
          <w:sz w:val="22"/>
          <w:szCs w:val="22"/>
          <w:lang w:val="en-GB"/>
        </w:rPr>
        <w:t>, which were previously poorly understood.</w:t>
      </w:r>
    </w:p>
    <w:p w14:paraId="6076964E" w14:textId="77777777" w:rsidR="00C32619" w:rsidRDefault="00C32619" w:rsidP="009443F4">
      <w:pPr>
        <w:pStyle w:val="BodyText"/>
        <w:jc w:val="both"/>
        <w:rPr>
          <w:sz w:val="22"/>
          <w:szCs w:val="22"/>
          <w:lang w:val="en-GB"/>
        </w:rPr>
      </w:pPr>
    </w:p>
    <w:p w14:paraId="3948F860" w14:textId="0B449437" w:rsidR="00C32619" w:rsidRDefault="002C43D5" w:rsidP="009443F4">
      <w:pPr>
        <w:pStyle w:val="BodyText"/>
        <w:jc w:val="both"/>
        <w:rPr>
          <w:sz w:val="22"/>
          <w:szCs w:val="22"/>
          <w:lang w:val="en-GB"/>
        </w:rPr>
      </w:pPr>
      <w:r w:rsidRPr="002C43D5">
        <w:rPr>
          <w:sz w:val="22"/>
          <w:szCs w:val="22"/>
          <w:lang w:val="en-GB"/>
        </w:rPr>
        <w:t>Over the past decade, we have employed various plant science strategies to uncover the drivers of PH quality, making significant advances in its development and genetics</w:t>
      </w:r>
      <w:r>
        <w:rPr>
          <w:sz w:val="22"/>
          <w:szCs w:val="22"/>
          <w:vertAlign w:val="superscript"/>
          <w:lang w:val="en-GB"/>
        </w:rPr>
        <w:t>1</w:t>
      </w:r>
      <w:r w:rsidRPr="002C43D5">
        <w:rPr>
          <w:sz w:val="22"/>
          <w:szCs w:val="22"/>
          <w:lang w:val="en-GB"/>
        </w:rPr>
        <w:t xml:space="preserve">. However, we have also demonstrated that </w:t>
      </w:r>
      <w:r w:rsidRPr="002C43D5">
        <w:rPr>
          <w:i/>
          <w:iCs/>
          <w:sz w:val="22"/>
          <w:szCs w:val="22"/>
          <w:lang w:val="en-GB"/>
        </w:rPr>
        <w:t>P. ovata</w:t>
      </w:r>
      <w:r w:rsidRPr="002C43D5">
        <w:rPr>
          <w:sz w:val="22"/>
          <w:szCs w:val="22"/>
          <w:lang w:val="en-GB"/>
        </w:rPr>
        <w:t xml:space="preserve"> has extremely limited genetic variation, resulting in a narrow range of HX properties for tailored applications. Through fractionation and advanced rheological techniques, </w:t>
      </w:r>
      <w:r w:rsidRPr="002C43D5">
        <w:rPr>
          <w:i/>
          <w:iCs/>
          <w:sz w:val="22"/>
          <w:szCs w:val="22"/>
          <w:lang w:val="en-GB"/>
        </w:rPr>
        <w:t>P. ovata</w:t>
      </w:r>
      <w:r w:rsidRPr="002C43D5">
        <w:rPr>
          <w:sz w:val="22"/>
          <w:szCs w:val="22"/>
          <w:lang w:val="en-GB"/>
        </w:rPr>
        <w:t xml:space="preserve"> HX has been shown to form ‘physical gels</w:t>
      </w:r>
      <w:r>
        <w:rPr>
          <w:sz w:val="22"/>
          <w:szCs w:val="22"/>
          <w:lang w:val="en-GB"/>
        </w:rPr>
        <w:t>’,</w:t>
      </w:r>
      <w:r w:rsidRPr="002C43D5">
        <w:rPr>
          <w:sz w:val="22"/>
          <w:szCs w:val="22"/>
          <w:lang w:val="en-GB"/>
        </w:rPr>
        <w:t xml:space="preserve"> with substitutions playing a critical role in network formation and rheological behavio</w:t>
      </w:r>
      <w:r>
        <w:rPr>
          <w:sz w:val="22"/>
          <w:szCs w:val="22"/>
          <w:lang w:val="en-GB"/>
        </w:rPr>
        <w:t>u</w:t>
      </w:r>
      <w:r w:rsidRPr="002C43D5">
        <w:rPr>
          <w:sz w:val="22"/>
          <w:szCs w:val="22"/>
          <w:lang w:val="en-GB"/>
        </w:rPr>
        <w:t>r</w:t>
      </w:r>
      <w:r w:rsidR="002F7DC4">
        <w:rPr>
          <w:sz w:val="22"/>
          <w:szCs w:val="22"/>
          <w:vertAlign w:val="superscript"/>
          <w:lang w:val="en-GB"/>
        </w:rPr>
        <w:t>2</w:t>
      </w:r>
      <w:r w:rsidR="009443F4">
        <w:rPr>
          <w:sz w:val="22"/>
          <w:szCs w:val="22"/>
          <w:lang w:val="en-GB"/>
        </w:rPr>
        <w:t>.</w:t>
      </w:r>
      <w:r w:rsidR="00360970">
        <w:rPr>
          <w:sz w:val="22"/>
          <w:szCs w:val="22"/>
          <w:lang w:val="en-GB"/>
        </w:rPr>
        <w:t xml:space="preserve"> With this considered, we have explored dozens of alternative </w:t>
      </w:r>
      <w:r w:rsidR="002F7DC4" w:rsidRPr="002F7DC4">
        <w:rPr>
          <w:i/>
          <w:iCs/>
          <w:sz w:val="22"/>
          <w:szCs w:val="22"/>
          <w:lang w:val="en-GB"/>
        </w:rPr>
        <w:t>Plantago</w:t>
      </w:r>
      <w:r w:rsidR="002F7DC4">
        <w:rPr>
          <w:sz w:val="22"/>
          <w:szCs w:val="22"/>
          <w:lang w:val="en-GB"/>
        </w:rPr>
        <w:t xml:space="preserve"> </w:t>
      </w:r>
      <w:r w:rsidR="00360970">
        <w:rPr>
          <w:sz w:val="22"/>
          <w:szCs w:val="22"/>
          <w:lang w:val="en-GB"/>
        </w:rPr>
        <w:t xml:space="preserve">species and discovered that HX is </w:t>
      </w:r>
      <w:r w:rsidR="002F7DC4">
        <w:rPr>
          <w:sz w:val="22"/>
          <w:szCs w:val="22"/>
          <w:lang w:val="en-GB"/>
        </w:rPr>
        <w:t xml:space="preserve">shared as </w:t>
      </w:r>
      <w:r w:rsidR="00360970">
        <w:rPr>
          <w:sz w:val="22"/>
          <w:szCs w:val="22"/>
          <w:lang w:val="en-GB"/>
        </w:rPr>
        <w:t xml:space="preserve">the most abundant polymer, but importantly their substitution levels, and subsequent rheological and water absorption behaviours, vary widely. Adding whole seed flour from several diverse </w:t>
      </w:r>
      <w:r w:rsidR="00360970" w:rsidRPr="00360970">
        <w:rPr>
          <w:i/>
          <w:iCs/>
          <w:sz w:val="22"/>
          <w:szCs w:val="22"/>
          <w:lang w:val="en-GB"/>
        </w:rPr>
        <w:t>Plantago</w:t>
      </w:r>
      <w:r w:rsidR="00360970">
        <w:rPr>
          <w:sz w:val="22"/>
          <w:szCs w:val="22"/>
          <w:lang w:val="en-GB"/>
        </w:rPr>
        <w:t xml:space="preserve"> species to </w:t>
      </w:r>
      <w:r w:rsidR="008407C6">
        <w:rPr>
          <w:sz w:val="22"/>
          <w:szCs w:val="22"/>
          <w:lang w:val="en-GB"/>
        </w:rPr>
        <w:t xml:space="preserve">gluten-free bread showed that the texture- and </w:t>
      </w:r>
      <w:r w:rsidR="00C32619">
        <w:rPr>
          <w:sz w:val="22"/>
          <w:szCs w:val="22"/>
          <w:lang w:val="en-GB"/>
        </w:rPr>
        <w:t xml:space="preserve">dough </w:t>
      </w:r>
      <w:r w:rsidR="008407C6">
        <w:rPr>
          <w:sz w:val="22"/>
          <w:szCs w:val="22"/>
          <w:lang w:val="en-GB"/>
        </w:rPr>
        <w:t xml:space="preserve">rheology-enhancing properties partly independent of HX </w:t>
      </w:r>
      <w:r w:rsidR="008407C6" w:rsidRPr="008407C6">
        <w:rPr>
          <w:i/>
          <w:iCs/>
          <w:sz w:val="22"/>
          <w:szCs w:val="22"/>
          <w:lang w:val="en-GB"/>
        </w:rPr>
        <w:t>content</w:t>
      </w:r>
      <w:r w:rsidR="008407C6">
        <w:rPr>
          <w:sz w:val="22"/>
          <w:szCs w:val="22"/>
          <w:lang w:val="en-GB"/>
        </w:rPr>
        <w:t xml:space="preserve"> and chemistry and were more strongly associated with the </w:t>
      </w:r>
      <w:r w:rsidR="008407C6" w:rsidRPr="008407C6">
        <w:rPr>
          <w:i/>
          <w:iCs/>
          <w:sz w:val="22"/>
          <w:szCs w:val="22"/>
          <w:lang w:val="en-GB"/>
        </w:rPr>
        <w:t>proportion</w:t>
      </w:r>
      <w:r w:rsidR="008407C6">
        <w:rPr>
          <w:sz w:val="22"/>
          <w:szCs w:val="22"/>
          <w:lang w:val="en-GB"/>
        </w:rPr>
        <w:t xml:space="preserve"> of more gel-like (greater </w:t>
      </w:r>
      <w:r w:rsidR="008407C6" w:rsidRPr="008407C6">
        <w:rPr>
          <w:i/>
          <w:iCs/>
          <w:sz w:val="22"/>
          <w:szCs w:val="22"/>
          <w:lang w:val="en-GB"/>
        </w:rPr>
        <w:t>G</w:t>
      </w:r>
      <w:r w:rsidR="008407C6">
        <w:rPr>
          <w:sz w:val="22"/>
          <w:szCs w:val="22"/>
          <w:lang w:val="en-GB"/>
        </w:rPr>
        <w:t>’ and lower tan δ) HX fractions</w:t>
      </w:r>
      <w:r>
        <w:rPr>
          <w:sz w:val="22"/>
          <w:szCs w:val="22"/>
          <w:vertAlign w:val="superscript"/>
          <w:lang w:val="en-GB"/>
        </w:rPr>
        <w:t>3</w:t>
      </w:r>
      <w:r w:rsidR="008407C6">
        <w:rPr>
          <w:sz w:val="22"/>
          <w:szCs w:val="22"/>
          <w:lang w:val="en-GB"/>
        </w:rPr>
        <w:t xml:space="preserve">. One species that we have named Australian Psyllium (AP) showed particularly potent hydrocolloid behaviour </w:t>
      </w:r>
      <w:r w:rsidR="00564700">
        <w:rPr>
          <w:sz w:val="22"/>
          <w:szCs w:val="22"/>
          <w:lang w:val="en-GB"/>
        </w:rPr>
        <w:t>(</w:t>
      </w:r>
      <w:r w:rsidR="008407C6">
        <w:rPr>
          <w:sz w:val="22"/>
          <w:szCs w:val="22"/>
          <w:lang w:val="en-GB"/>
        </w:rPr>
        <w:t>even compared to PH</w:t>
      </w:r>
      <w:proofErr w:type="gramStart"/>
      <w:r w:rsidR="00564700">
        <w:rPr>
          <w:sz w:val="22"/>
          <w:szCs w:val="22"/>
          <w:lang w:val="en-GB"/>
        </w:rPr>
        <w:t>)</w:t>
      </w:r>
      <w:proofErr w:type="gramEnd"/>
      <w:r w:rsidR="008407C6">
        <w:rPr>
          <w:sz w:val="22"/>
          <w:szCs w:val="22"/>
          <w:lang w:val="en-GB"/>
        </w:rPr>
        <w:t xml:space="preserve"> so we have employed fractionation and binary starch-HX gel fabrication </w:t>
      </w:r>
      <w:r w:rsidR="00564700">
        <w:rPr>
          <w:sz w:val="22"/>
          <w:szCs w:val="22"/>
          <w:lang w:val="en-GB"/>
        </w:rPr>
        <w:t xml:space="preserve">to probe </w:t>
      </w:r>
      <w:r w:rsidR="002F7DC4">
        <w:rPr>
          <w:sz w:val="22"/>
          <w:szCs w:val="22"/>
          <w:lang w:val="en-GB"/>
        </w:rPr>
        <w:t>this</w:t>
      </w:r>
      <w:r w:rsidR="00564700">
        <w:rPr>
          <w:sz w:val="22"/>
          <w:szCs w:val="22"/>
          <w:lang w:val="en-GB"/>
        </w:rPr>
        <w:t xml:space="preserve"> further</w:t>
      </w:r>
      <w:r w:rsidR="00564700">
        <w:rPr>
          <w:sz w:val="22"/>
          <w:szCs w:val="22"/>
          <w:lang w:val="en-GB"/>
        </w:rPr>
        <w:t xml:space="preserve">, showing that AP HX and AP HX-starch gels had extremely high resilience under dynamic oscillatory deformation, with flow points and flow transition indices double that of </w:t>
      </w:r>
      <w:r w:rsidR="00564700" w:rsidRPr="00564700">
        <w:rPr>
          <w:i/>
          <w:iCs/>
          <w:sz w:val="22"/>
          <w:szCs w:val="22"/>
          <w:lang w:val="en-GB"/>
        </w:rPr>
        <w:t>P. ovata</w:t>
      </w:r>
      <w:r w:rsidR="00564700">
        <w:rPr>
          <w:sz w:val="22"/>
          <w:szCs w:val="22"/>
          <w:lang w:val="en-GB"/>
        </w:rPr>
        <w:t xml:space="preserve"> HX and HX-starch gels. Applying AP </w:t>
      </w:r>
      <w:r w:rsidR="00564700" w:rsidRPr="00564700">
        <w:rPr>
          <w:i/>
          <w:iCs/>
          <w:sz w:val="22"/>
          <w:szCs w:val="22"/>
          <w:lang w:val="en-GB"/>
        </w:rPr>
        <w:t>in vivo</w:t>
      </w:r>
      <w:r w:rsidR="00564700">
        <w:rPr>
          <w:sz w:val="22"/>
          <w:szCs w:val="22"/>
          <w:lang w:val="en-GB"/>
        </w:rPr>
        <w:t xml:space="preserve">, </w:t>
      </w:r>
      <w:r w:rsidR="00C32619">
        <w:rPr>
          <w:sz w:val="22"/>
          <w:szCs w:val="22"/>
          <w:lang w:val="en-GB"/>
        </w:rPr>
        <w:t>these advantages</w:t>
      </w:r>
      <w:r w:rsidR="00564700">
        <w:rPr>
          <w:sz w:val="22"/>
          <w:szCs w:val="22"/>
          <w:lang w:val="en-GB"/>
        </w:rPr>
        <w:t xml:space="preserve"> provide more potent dietary fibre functionality, reducing cholesterol levels more than </w:t>
      </w:r>
      <w:r w:rsidR="00564700" w:rsidRPr="00564700">
        <w:rPr>
          <w:i/>
          <w:iCs/>
          <w:sz w:val="22"/>
          <w:szCs w:val="22"/>
          <w:lang w:val="en-GB"/>
        </w:rPr>
        <w:t>P. ovata</w:t>
      </w:r>
      <w:r w:rsidR="00564700">
        <w:rPr>
          <w:sz w:val="22"/>
          <w:szCs w:val="22"/>
          <w:lang w:val="en-GB"/>
        </w:rPr>
        <w:t xml:space="preserve"> in mice fed an obesogenic diet.  </w:t>
      </w:r>
    </w:p>
    <w:p w14:paraId="5D5844AE" w14:textId="77777777" w:rsidR="00C32619" w:rsidRDefault="00C32619" w:rsidP="009443F4">
      <w:pPr>
        <w:pStyle w:val="BodyText"/>
        <w:jc w:val="both"/>
        <w:rPr>
          <w:sz w:val="22"/>
          <w:szCs w:val="22"/>
          <w:lang w:val="en-GB"/>
        </w:rPr>
      </w:pPr>
    </w:p>
    <w:p w14:paraId="7ACF405D" w14:textId="3BF41DA0" w:rsidR="00360970" w:rsidRDefault="00C32619" w:rsidP="009443F4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Exploring the diverse relatives of </w:t>
      </w:r>
      <w:r w:rsidRPr="00C32619">
        <w:rPr>
          <w:i/>
          <w:iCs/>
          <w:sz w:val="22"/>
          <w:szCs w:val="22"/>
          <w:lang w:val="en-GB"/>
        </w:rPr>
        <w:t>P. ovata</w:t>
      </w:r>
      <w:r>
        <w:rPr>
          <w:sz w:val="22"/>
          <w:szCs w:val="22"/>
          <w:lang w:val="en-GB"/>
        </w:rPr>
        <w:t xml:space="preserve">, we show that this is a richer resource for targeted hydrocolloid functionality. Future work will compare AP and </w:t>
      </w:r>
      <w:r w:rsidRPr="00C32619">
        <w:rPr>
          <w:i/>
          <w:iCs/>
          <w:sz w:val="22"/>
          <w:szCs w:val="22"/>
          <w:lang w:val="en-GB"/>
        </w:rPr>
        <w:t>P. ovata</w:t>
      </w:r>
      <w:r>
        <w:rPr>
          <w:sz w:val="22"/>
          <w:szCs w:val="22"/>
          <w:lang w:val="en-GB"/>
        </w:rPr>
        <w:t xml:space="preserve"> HX chemistry and rheology more deeply to uncover the underlying mechanisms, as well as </w:t>
      </w:r>
      <w:r w:rsidR="002F7DC4" w:rsidRPr="002F7DC4">
        <w:rPr>
          <w:sz w:val="22"/>
          <w:szCs w:val="22"/>
        </w:rPr>
        <w:t>exploring broader hydrocolloid applications</w:t>
      </w:r>
      <w:r>
        <w:rPr>
          <w:sz w:val="22"/>
          <w:szCs w:val="22"/>
          <w:lang w:val="en-GB"/>
        </w:rPr>
        <w:t>.</w:t>
      </w:r>
    </w:p>
    <w:p w14:paraId="7D7B19C6" w14:textId="77777777" w:rsidR="00C54026" w:rsidRPr="00C54026" w:rsidRDefault="00C54026" w:rsidP="00C54026">
      <w:pPr>
        <w:pStyle w:val="BodyText"/>
        <w:rPr>
          <w:sz w:val="22"/>
          <w:szCs w:val="22"/>
          <w:lang w:val="en-GB"/>
        </w:rPr>
      </w:pPr>
    </w:p>
    <w:p w14:paraId="5C527C3A" w14:textId="5AC78F73" w:rsidR="002F7DC4" w:rsidRPr="002F7DC4" w:rsidRDefault="00DB5DA7" w:rsidP="002F7DC4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1B6D4C08" w14:textId="711E2E65" w:rsidR="002F7DC4" w:rsidRDefault="002F7DC4" w:rsidP="002F7DC4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2F7DC4">
        <w:rPr>
          <w:rFonts w:ascii="Arial" w:hAnsi="Arial" w:cs="Arial"/>
        </w:rPr>
        <w:t>Phan, J. L., Cowley, J. M., Neumann, K. A., Herliana, L., O’Donovan, L. A., &amp; Burton, R. A. (2020). The novel features of Plantago ovata seed mucilage accumulation, storage and release. </w:t>
      </w:r>
      <w:r w:rsidRPr="002F7DC4">
        <w:rPr>
          <w:rFonts w:ascii="Arial" w:hAnsi="Arial" w:cs="Arial"/>
          <w:i/>
          <w:iCs/>
        </w:rPr>
        <w:t>Scientific reports</w:t>
      </w:r>
      <w:r w:rsidRPr="002F7DC4">
        <w:rPr>
          <w:rFonts w:ascii="Arial" w:hAnsi="Arial" w:cs="Arial"/>
        </w:rPr>
        <w:t>, </w:t>
      </w:r>
      <w:r w:rsidRPr="002F7DC4">
        <w:rPr>
          <w:rFonts w:ascii="Arial" w:hAnsi="Arial" w:cs="Arial"/>
          <w:i/>
          <w:iCs/>
        </w:rPr>
        <w:t>10</w:t>
      </w:r>
      <w:r w:rsidRPr="002F7DC4">
        <w:rPr>
          <w:rFonts w:ascii="Arial" w:hAnsi="Arial" w:cs="Arial"/>
        </w:rPr>
        <w:t>(1), 11766.</w:t>
      </w:r>
    </w:p>
    <w:p w14:paraId="42220097" w14:textId="70B8FE58" w:rsidR="002F7DC4" w:rsidRDefault="002F7DC4" w:rsidP="002C43D5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2F7DC4">
        <w:rPr>
          <w:rFonts w:ascii="Arial" w:hAnsi="Arial" w:cs="Arial"/>
        </w:rPr>
        <w:t>Yu, L., Yakubov, G. E., Zeng, W., Xing, X., Stenson, J., Bulone, V., &amp; Stokes, J. R. (2017). Multi-layer mucilage of Plantago ovata seeds: Rheological differences arise from variations in arabinoxylan side chains. </w:t>
      </w:r>
      <w:r w:rsidRPr="002F7DC4">
        <w:rPr>
          <w:rFonts w:ascii="Arial" w:hAnsi="Arial" w:cs="Arial"/>
          <w:i/>
          <w:iCs/>
        </w:rPr>
        <w:t>Carbohydrate Polymers</w:t>
      </w:r>
      <w:r w:rsidRPr="002F7DC4">
        <w:rPr>
          <w:rFonts w:ascii="Arial" w:hAnsi="Arial" w:cs="Arial"/>
        </w:rPr>
        <w:t>, </w:t>
      </w:r>
      <w:r w:rsidRPr="002F7DC4">
        <w:rPr>
          <w:rFonts w:ascii="Arial" w:hAnsi="Arial" w:cs="Arial"/>
          <w:i/>
          <w:iCs/>
        </w:rPr>
        <w:t>165</w:t>
      </w:r>
      <w:r w:rsidRPr="002F7DC4">
        <w:rPr>
          <w:rFonts w:ascii="Arial" w:hAnsi="Arial" w:cs="Arial"/>
        </w:rPr>
        <w:t>, 132-141.</w:t>
      </w:r>
    </w:p>
    <w:p w14:paraId="17B84B05" w14:textId="3AC7C546" w:rsidR="002F7DC4" w:rsidRPr="002F7DC4" w:rsidRDefault="002C43D5" w:rsidP="002F7DC4">
      <w:pPr>
        <w:ind w:left="187" w:hanging="18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3</w:t>
      </w:r>
      <w:r w:rsidR="002F7DC4">
        <w:rPr>
          <w:rFonts w:ascii="Arial" w:hAnsi="Arial" w:cs="Arial"/>
        </w:rPr>
        <w:t xml:space="preserve"> </w:t>
      </w:r>
      <w:r w:rsidR="002F7DC4" w:rsidRPr="002F7DC4">
        <w:rPr>
          <w:rFonts w:ascii="Arial" w:hAnsi="Arial" w:cs="Arial"/>
        </w:rPr>
        <w:t>Cowley, J. M., Ren, Y., Štrkalj, L., Foster, T. J., &amp; Burton, R. A. (2025). The influence of mucilage-rich flours from diverse Australian Plantago species on the pasting, storage, and gluten-free breadmaking properties of rice flour. </w:t>
      </w:r>
      <w:r w:rsidR="002F7DC4" w:rsidRPr="002F7DC4">
        <w:rPr>
          <w:rFonts w:ascii="Arial" w:hAnsi="Arial" w:cs="Arial"/>
          <w:i/>
          <w:iCs/>
        </w:rPr>
        <w:t>Food Hydrocolloids</w:t>
      </w:r>
      <w:r w:rsidR="002F7DC4" w:rsidRPr="002F7DC4">
        <w:rPr>
          <w:rFonts w:ascii="Arial" w:hAnsi="Arial" w:cs="Arial"/>
        </w:rPr>
        <w:t>, </w:t>
      </w:r>
      <w:r w:rsidR="002F7DC4" w:rsidRPr="002F7DC4">
        <w:rPr>
          <w:rFonts w:ascii="Arial" w:hAnsi="Arial" w:cs="Arial"/>
          <w:i/>
          <w:iCs/>
        </w:rPr>
        <w:t>160</w:t>
      </w:r>
      <w:r w:rsidR="002F7DC4" w:rsidRPr="002F7DC4">
        <w:rPr>
          <w:rFonts w:ascii="Arial" w:hAnsi="Arial" w:cs="Arial"/>
        </w:rPr>
        <w:t>, 110788.</w:t>
      </w:r>
    </w:p>
    <w:sectPr w:rsidR="002F7DC4" w:rsidRPr="002F7DC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45179849">
    <w:abstractNumId w:val="1"/>
  </w:num>
  <w:num w:numId="2" w16cid:durableId="196734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0B3E23"/>
    <w:rsid w:val="002C43D5"/>
    <w:rsid w:val="002F7DC4"/>
    <w:rsid w:val="00360970"/>
    <w:rsid w:val="00564700"/>
    <w:rsid w:val="005E27C0"/>
    <w:rsid w:val="008407C6"/>
    <w:rsid w:val="009443F4"/>
    <w:rsid w:val="00BC1D99"/>
    <w:rsid w:val="00C32619"/>
    <w:rsid w:val="00C54026"/>
    <w:rsid w:val="00DB5DA7"/>
    <w:rsid w:val="00E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8C058"/>
  <w15:chartTrackingRefBased/>
  <w15:docId w15:val="{44E07C5C-00BB-49E2-B1FE-515FA394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2619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styleId="Emphasis">
    <w:name w:val="Emphasis"/>
    <w:uiPriority w:val="20"/>
    <w:qFormat/>
    <w:rsid w:val="00C32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James Cowley</cp:lastModifiedBy>
  <cp:revision>2</cp:revision>
  <cp:lastPrinted>2008-01-25T04:52:00Z</cp:lastPrinted>
  <dcterms:created xsi:type="dcterms:W3CDTF">2024-12-30T00:33:00Z</dcterms:created>
  <dcterms:modified xsi:type="dcterms:W3CDTF">2024-12-30T00:33:00Z</dcterms:modified>
</cp:coreProperties>
</file>