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BFF4" w14:textId="77777777" w:rsidR="00DF64C0" w:rsidRPr="00233A9F" w:rsidRDefault="00DF64C0" w:rsidP="00DF64C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3A9F">
        <w:rPr>
          <w:rFonts w:asciiTheme="majorBidi" w:hAnsiTheme="majorBidi" w:cstheme="majorBidi"/>
          <w:b/>
          <w:bCs/>
          <w:sz w:val="28"/>
          <w:szCs w:val="28"/>
        </w:rPr>
        <w:t xml:space="preserve">Preparation and </w:t>
      </w:r>
      <w:r w:rsidRPr="00233A9F">
        <w:rPr>
          <w:rFonts w:asciiTheme="majorBidi" w:hAnsiTheme="majorBidi" w:cstheme="majorBidi"/>
          <w:b/>
          <w:bCs/>
          <w:i/>
          <w:iCs/>
          <w:sz w:val="28"/>
          <w:szCs w:val="28"/>
        </w:rPr>
        <w:t>in Vitro/In Vivo</w:t>
      </w:r>
      <w:r w:rsidRPr="00233A9F">
        <w:rPr>
          <w:rFonts w:asciiTheme="majorBidi" w:hAnsiTheme="majorBidi" w:cstheme="majorBidi"/>
          <w:b/>
          <w:bCs/>
          <w:sz w:val="28"/>
          <w:szCs w:val="28"/>
        </w:rPr>
        <w:t xml:space="preserve"> Characterization of Sustained-Release </w:t>
      </w:r>
      <w:r>
        <w:rPr>
          <w:rFonts w:asciiTheme="majorBidi" w:hAnsiTheme="majorBidi" w:cstheme="majorBidi"/>
          <w:b/>
          <w:bCs/>
          <w:sz w:val="28"/>
          <w:szCs w:val="28"/>
        </w:rPr>
        <w:t>Moxifloxacin</w:t>
      </w:r>
      <w:r w:rsidRPr="00233A9F">
        <w:rPr>
          <w:rFonts w:asciiTheme="majorBidi" w:hAnsiTheme="majorBidi" w:cstheme="majorBidi"/>
          <w:b/>
          <w:bCs/>
          <w:sz w:val="28"/>
          <w:szCs w:val="28"/>
        </w:rPr>
        <w:t xml:space="preserve">-Carrageenan Complex </w:t>
      </w:r>
    </w:p>
    <w:p w14:paraId="6E628525" w14:textId="77777777" w:rsidR="00DF64C0" w:rsidRPr="00B30CCD" w:rsidRDefault="00DF64C0" w:rsidP="00DF6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Samaa Abdullah</w:t>
      </w:r>
      <w:r w:rsidRPr="008F5EE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,2</w:t>
      </w:r>
      <w:r w:rsidRPr="00B30CCD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B30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Talal Abu-Hwaij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14:paraId="549AC737" w14:textId="77777777" w:rsidR="00DF64C0" w:rsidRPr="00E12481" w:rsidRDefault="00DF64C0" w:rsidP="00DF6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4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12481">
        <w:rPr>
          <w:rFonts w:ascii="Times New Roman" w:eastAsia="Times New Roman" w:hAnsi="Times New Roman" w:cs="Times New Roman"/>
          <w:sz w:val="24"/>
          <w:szCs w:val="24"/>
        </w:rPr>
        <w:t xml:space="preserve">College of Pharmacy, Amman Arab University, Amman 11953, Jordan; s.abdullah@aau.edu.jo </w:t>
      </w:r>
    </w:p>
    <w:p w14:paraId="50D95CAD" w14:textId="0FDB72A4" w:rsidR="00DF64C0" w:rsidRPr="00E12481" w:rsidRDefault="00DF64C0" w:rsidP="00DF6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4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12481">
        <w:rPr>
          <w:rFonts w:ascii="Times New Roman" w:eastAsia="Times New Roman" w:hAnsi="Times New Roman" w:cs="Times New Roman"/>
          <w:sz w:val="24"/>
          <w:szCs w:val="24"/>
        </w:rPr>
        <w:t>Creativity, Innovation &amp; Entrepreneurship Center, Amman Arab University, Amman 11953, Jordan</w:t>
      </w:r>
    </w:p>
    <w:p w14:paraId="134F9061" w14:textId="6C4B7DE2" w:rsidR="00DF64C0" w:rsidRPr="00DF64C0" w:rsidRDefault="00DF64C0" w:rsidP="00DF6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4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12481">
        <w:rPr>
          <w:rFonts w:ascii="Times New Roman" w:eastAsia="Times New Roman" w:hAnsi="Times New Roman" w:cs="Times New Roman"/>
          <w:sz w:val="24"/>
          <w:szCs w:val="24"/>
        </w:rPr>
        <w:t>Corresponding author</w:t>
      </w:r>
    </w:p>
    <w:p w14:paraId="077EED67" w14:textId="22257D95" w:rsidR="00DF64C0" w:rsidRPr="00233A9F" w:rsidRDefault="00DF64C0" w:rsidP="00DF64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33A9F">
        <w:rPr>
          <w:rFonts w:asciiTheme="majorBidi" w:hAnsiTheme="majorBidi" w:cstheme="majorBidi"/>
          <w:b/>
          <w:bCs/>
          <w:caps/>
          <w:sz w:val="28"/>
          <w:szCs w:val="28"/>
        </w:rPr>
        <w:t>Abstract</w:t>
      </w:r>
    </w:p>
    <w:p w14:paraId="2B664257" w14:textId="77777777" w:rsidR="00DF64C0" w:rsidRDefault="00DF64C0" w:rsidP="00DF64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2B7">
        <w:rPr>
          <w:rFonts w:asciiTheme="majorBidi" w:hAnsiTheme="majorBidi" w:cstheme="majorBidi"/>
          <w:sz w:val="24"/>
          <w:szCs w:val="24"/>
        </w:rPr>
        <w:t>The study aimed to investigate drug-polyelectrolyte complexation between moxifloxacin (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) and α-carrageenan (CRG) and use the complex as a sustained-release matrix. The maximal binding capacity of the complexation was established using the dialysis bag technique, which was then used to construct the complex. In contrast to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>, CRG, and their physical mixing, the complex was investigated using differential scanning calorimetry, Fourier infrared spectroscopy, powder X-ray diffraction, and scanning electron microscopy</w:t>
      </w:r>
      <w:r w:rsidRPr="00233A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-CRG matrices, created as direct compression tablets based on the highest binding capacity, were tested for swelling, erosion, and drug release in 0.1 M HCl, and compared to CRG, Hydroxypropyl methylcellulose (HPMC), and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-HPMC matrices. An in vivo absorption study comparing the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>-CRG matrix to the Cipro immediate-release pill was also conducted.</w:t>
      </w:r>
    </w:p>
    <w:p w14:paraId="604D2B1A" w14:textId="520CB163" w:rsidR="00B77F73" w:rsidRPr="00DF64C0" w:rsidRDefault="00DF64C0" w:rsidP="00DF64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2B7">
        <w:rPr>
          <w:rFonts w:asciiTheme="majorBidi" w:hAnsiTheme="majorBidi" w:cstheme="majorBidi"/>
          <w:sz w:val="24"/>
          <w:szCs w:val="24"/>
        </w:rPr>
        <w:t xml:space="preserve">The highest binding capability of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 to CRG was 55% (w/w). Complexation with drug amorphization is thought to entail a variety of interactions, including electrostatic interactions, Vander wall forces, and hydrogen bonding. As a result of the complexation, CRG's swelling and erosion characteristics altered, with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-CRG matrix exhibiting much less swelling and erosion than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-free CRG matrix.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-CRG matrix showed swelling and erosion comparable to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-HPMC matrix. However, the earlier matrix showed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 release with substantially lesser burst effect and a significantly slower release rate. Furthermore, in vivo, </w:t>
      </w:r>
      <w:proofErr w:type="spellStart"/>
      <w:r w:rsidRPr="001B42B7">
        <w:rPr>
          <w:rFonts w:asciiTheme="majorBidi" w:hAnsiTheme="majorBidi" w:cstheme="majorBidi"/>
          <w:sz w:val="24"/>
          <w:szCs w:val="24"/>
        </w:rPr>
        <w:t>Moxi</w:t>
      </w:r>
      <w:proofErr w:type="spellEnd"/>
      <w:r w:rsidRPr="001B42B7">
        <w:rPr>
          <w:rFonts w:asciiTheme="majorBidi" w:hAnsiTheme="majorBidi" w:cstheme="majorBidi"/>
          <w:sz w:val="24"/>
          <w:szCs w:val="24"/>
        </w:rPr>
        <w:t xml:space="preserve">-CRG matrices displayed slow-prolonged oral drug absorption, resulting in substantial alterations in pharmacokinetic parameters as compared to immediate-release tablets. </w:t>
      </w:r>
    </w:p>
    <w:sectPr w:rsidR="00B77F73" w:rsidRPr="00DF64C0" w:rsidSect="00DF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C0"/>
    <w:rsid w:val="000B2B7F"/>
    <w:rsid w:val="001E6AE2"/>
    <w:rsid w:val="005E522A"/>
    <w:rsid w:val="006E6D21"/>
    <w:rsid w:val="007E6D75"/>
    <w:rsid w:val="00AF660D"/>
    <w:rsid w:val="00B77F73"/>
    <w:rsid w:val="00B95AB5"/>
    <w:rsid w:val="00C44C9B"/>
    <w:rsid w:val="00D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03A5"/>
  <w15:chartTrackingRefBased/>
  <w15:docId w15:val="{E31B738A-0453-4F29-85B5-C4EE7446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C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4C0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4C0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4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4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1</cp:revision>
  <dcterms:created xsi:type="dcterms:W3CDTF">2024-09-23T10:32:00Z</dcterms:created>
  <dcterms:modified xsi:type="dcterms:W3CDTF">2024-09-23T10:35:00Z</dcterms:modified>
</cp:coreProperties>
</file>