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DA7" w:rsidRDefault="004D1054" w:rsidP="006F69D6">
      <w:pPr>
        <w:jc w:val="center"/>
        <w:rPr>
          <w:rFonts w:ascii="Arial" w:hAnsi="Arial" w:cs="Arial"/>
          <w:b/>
          <w:bCs/>
          <w:sz w:val="32"/>
          <w:szCs w:val="32"/>
          <w:lang w:val="en-GB"/>
        </w:rPr>
      </w:pPr>
      <w:r w:rsidRPr="004D1054">
        <w:rPr>
          <w:rFonts w:ascii="Arial" w:hAnsi="Arial" w:cs="Arial"/>
          <w:b/>
          <w:bCs/>
          <w:sz w:val="32"/>
          <w:szCs w:val="32"/>
          <w:lang w:val="en-US"/>
        </w:rPr>
        <w:t xml:space="preserve">Protection and Safe Delivery of </w:t>
      </w:r>
      <w:proofErr w:type="spellStart"/>
      <w:r w:rsidRPr="004D1054">
        <w:rPr>
          <w:rFonts w:ascii="Arial" w:hAnsi="Arial" w:cs="Arial"/>
          <w:b/>
          <w:bCs/>
          <w:sz w:val="32"/>
          <w:szCs w:val="32"/>
          <w:lang w:val="en-US"/>
        </w:rPr>
        <w:t>Nutraceuticals</w:t>
      </w:r>
      <w:proofErr w:type="spellEnd"/>
      <w:r w:rsidRPr="004D1054">
        <w:rPr>
          <w:rFonts w:ascii="Arial" w:hAnsi="Arial" w:cs="Arial"/>
          <w:b/>
          <w:bCs/>
          <w:sz w:val="32"/>
          <w:szCs w:val="32"/>
          <w:lang w:val="en-US"/>
        </w:rPr>
        <w:t xml:space="preserve"> using </w:t>
      </w:r>
      <w:proofErr w:type="spellStart"/>
      <w:r w:rsidRPr="004D1054">
        <w:rPr>
          <w:rFonts w:ascii="Arial" w:hAnsi="Arial" w:cs="Arial"/>
          <w:b/>
          <w:bCs/>
          <w:sz w:val="32"/>
          <w:szCs w:val="32"/>
          <w:lang w:val="en-US"/>
        </w:rPr>
        <w:t>Electrohydrodynamic</w:t>
      </w:r>
      <w:proofErr w:type="spellEnd"/>
      <w:r w:rsidRPr="004D1054">
        <w:rPr>
          <w:rFonts w:ascii="Arial" w:hAnsi="Arial" w:cs="Arial"/>
          <w:b/>
          <w:bCs/>
          <w:sz w:val="32"/>
          <w:szCs w:val="32"/>
          <w:lang w:val="en-US"/>
        </w:rPr>
        <w:t xml:space="preserve"> Atomization Method</w:t>
      </w:r>
      <w:r>
        <w:rPr>
          <w:rFonts w:ascii="Arial" w:hAnsi="Arial" w:cs="Arial"/>
          <w:b/>
          <w:bCs/>
          <w:sz w:val="32"/>
          <w:szCs w:val="32"/>
          <w:lang w:val="en-US"/>
        </w:rPr>
        <w:t xml:space="preserve">: </w:t>
      </w:r>
      <w:r w:rsidR="00C8330B">
        <w:rPr>
          <w:rFonts w:ascii="Arial" w:hAnsi="Arial" w:cs="Arial"/>
          <w:b/>
          <w:bCs/>
          <w:sz w:val="32"/>
          <w:szCs w:val="32"/>
          <w:lang w:val="en-US"/>
        </w:rPr>
        <w:t>the</w:t>
      </w:r>
      <w:r w:rsidR="00211877">
        <w:rPr>
          <w:rFonts w:ascii="Arial" w:hAnsi="Arial" w:cs="Arial"/>
          <w:b/>
          <w:bCs/>
          <w:sz w:val="32"/>
          <w:szCs w:val="32"/>
          <w:lang w:val="en-US"/>
        </w:rPr>
        <w:t xml:space="preserve"> </w:t>
      </w:r>
      <w:r w:rsidR="00C8330B">
        <w:rPr>
          <w:rFonts w:ascii="Arial" w:hAnsi="Arial" w:cs="Arial"/>
          <w:b/>
          <w:bCs/>
          <w:sz w:val="32"/>
          <w:szCs w:val="32"/>
          <w:lang w:val="en-US"/>
        </w:rPr>
        <w:t>R</w:t>
      </w:r>
      <w:r>
        <w:rPr>
          <w:rFonts w:ascii="Arial" w:hAnsi="Arial" w:cs="Arial"/>
          <w:b/>
          <w:bCs/>
          <w:sz w:val="32"/>
          <w:szCs w:val="32"/>
          <w:lang w:val="en-US"/>
        </w:rPr>
        <w:t>ole of Food Hydrocolloids as the Wall Material</w:t>
      </w:r>
    </w:p>
    <w:p w:rsidR="004D1054" w:rsidRDefault="004D1054">
      <w:pPr>
        <w:jc w:val="both"/>
        <w:rPr>
          <w:sz w:val="24"/>
          <w:szCs w:val="24"/>
          <w:lang w:val="en-GB"/>
        </w:rPr>
      </w:pPr>
    </w:p>
    <w:p w:rsidR="00347E39" w:rsidRDefault="00347E39">
      <w:pPr>
        <w:jc w:val="both"/>
        <w:rPr>
          <w:sz w:val="24"/>
          <w:szCs w:val="24"/>
          <w:lang w:val="en-GB"/>
        </w:rPr>
      </w:pPr>
    </w:p>
    <w:p w:rsidR="00DB5DA7" w:rsidRPr="00C2709B" w:rsidRDefault="004D1054" w:rsidP="00C8330B">
      <w:pPr>
        <w:jc w:val="center"/>
        <w:rPr>
          <w:sz w:val="28"/>
          <w:szCs w:val="28"/>
          <w:lang w:val="en-GB"/>
        </w:rPr>
      </w:pPr>
      <w:proofErr w:type="spellStart"/>
      <w:r w:rsidRPr="00C2709B">
        <w:rPr>
          <w:sz w:val="28"/>
          <w:szCs w:val="28"/>
          <w:lang w:val="en-GB"/>
        </w:rPr>
        <w:t>Behrouz</w:t>
      </w:r>
      <w:proofErr w:type="spellEnd"/>
      <w:r w:rsidR="00211877" w:rsidRPr="00C2709B">
        <w:rPr>
          <w:sz w:val="28"/>
          <w:szCs w:val="28"/>
          <w:lang w:val="en-GB"/>
        </w:rPr>
        <w:t xml:space="preserve"> </w:t>
      </w:r>
      <w:proofErr w:type="spellStart"/>
      <w:r w:rsidRPr="00C2709B">
        <w:rPr>
          <w:sz w:val="28"/>
          <w:szCs w:val="28"/>
          <w:lang w:val="en-GB"/>
        </w:rPr>
        <w:t>Ghorani</w:t>
      </w:r>
      <w:proofErr w:type="spellEnd"/>
    </w:p>
    <w:p w:rsidR="00DB5DA7" w:rsidRDefault="00DB5DA7">
      <w:pPr>
        <w:jc w:val="both"/>
        <w:rPr>
          <w:sz w:val="24"/>
          <w:szCs w:val="24"/>
          <w:lang w:val="en-GB"/>
        </w:rPr>
      </w:pPr>
    </w:p>
    <w:p w:rsidR="00C8330B" w:rsidRDefault="004D1054" w:rsidP="00347E39">
      <w:pPr>
        <w:jc w:val="center"/>
        <w:rPr>
          <w:sz w:val="24"/>
          <w:szCs w:val="24"/>
          <w:lang w:val="en-US"/>
        </w:rPr>
      </w:pPr>
      <w:r w:rsidRPr="00C8330B">
        <w:rPr>
          <w:sz w:val="24"/>
          <w:szCs w:val="24"/>
          <w:lang w:val="en-US"/>
        </w:rPr>
        <w:t xml:space="preserve">Department of Food Nanotechnology, Research Institute of Food Science and Technology (RIFST), </w:t>
      </w:r>
      <w:r w:rsidR="00C8330B" w:rsidRPr="00C8330B">
        <w:rPr>
          <w:sz w:val="24"/>
          <w:szCs w:val="24"/>
          <w:lang w:val="en-US"/>
        </w:rPr>
        <w:t>Km 12 Mashhad-</w:t>
      </w:r>
      <w:proofErr w:type="spellStart"/>
      <w:r w:rsidR="00C8330B" w:rsidRPr="00C8330B">
        <w:rPr>
          <w:sz w:val="24"/>
          <w:szCs w:val="24"/>
          <w:lang w:val="en-US"/>
        </w:rPr>
        <w:t>Quchan</w:t>
      </w:r>
      <w:proofErr w:type="spellEnd"/>
      <w:r w:rsidR="00C8330B" w:rsidRPr="00C8330B">
        <w:rPr>
          <w:sz w:val="24"/>
          <w:szCs w:val="24"/>
          <w:lang w:val="en-US"/>
        </w:rPr>
        <w:t xml:space="preserve"> Highway, </w:t>
      </w:r>
      <w:r w:rsidR="00347E39" w:rsidRPr="00C8330B">
        <w:rPr>
          <w:sz w:val="24"/>
          <w:szCs w:val="24"/>
          <w:lang w:val="en-US"/>
        </w:rPr>
        <w:t>PO Box: 91895/157/356</w:t>
      </w:r>
      <w:r w:rsidR="00347E39">
        <w:rPr>
          <w:sz w:val="24"/>
          <w:szCs w:val="24"/>
          <w:lang w:val="en-US"/>
        </w:rPr>
        <w:t>, Iran</w:t>
      </w:r>
    </w:p>
    <w:p w:rsidR="00C8330B" w:rsidRDefault="00C8330B" w:rsidP="004D1054">
      <w:pPr>
        <w:jc w:val="center"/>
        <w:rPr>
          <w:sz w:val="24"/>
          <w:szCs w:val="24"/>
          <w:lang w:val="en-US"/>
        </w:rPr>
      </w:pPr>
    </w:p>
    <w:p w:rsidR="00C8330B" w:rsidRPr="00C8330B" w:rsidRDefault="00C8330B" w:rsidP="004D1054">
      <w:pPr>
        <w:jc w:val="center"/>
        <w:rPr>
          <w:b/>
          <w:bCs/>
          <w:sz w:val="24"/>
          <w:szCs w:val="24"/>
          <w:lang w:val="en-US"/>
        </w:rPr>
      </w:pPr>
      <w:r w:rsidRPr="00C8330B">
        <w:rPr>
          <w:sz w:val="24"/>
          <w:szCs w:val="24"/>
          <w:lang w:val="en-US"/>
        </w:rPr>
        <w:t xml:space="preserve">Email: </w:t>
      </w:r>
      <w:r w:rsidRPr="00C8330B">
        <w:rPr>
          <w:b/>
          <w:bCs/>
          <w:sz w:val="24"/>
          <w:szCs w:val="24"/>
          <w:lang w:val="en-US"/>
        </w:rPr>
        <w:t>b.ghorani@rifst.ac.ir</w:t>
      </w:r>
    </w:p>
    <w:p w:rsidR="00DB5DA7" w:rsidRDefault="00DB5DA7">
      <w:pPr>
        <w:jc w:val="center"/>
        <w:rPr>
          <w:i/>
          <w:iCs/>
          <w:sz w:val="24"/>
          <w:szCs w:val="24"/>
          <w:lang w:val="en-US"/>
        </w:rPr>
      </w:pPr>
    </w:p>
    <w:p w:rsidR="00DB5DA7" w:rsidRDefault="00DB5DA7">
      <w:pPr>
        <w:jc w:val="center"/>
        <w:rPr>
          <w:i/>
          <w:iCs/>
          <w:sz w:val="24"/>
          <w:szCs w:val="24"/>
          <w:lang w:val="en-US"/>
        </w:rPr>
      </w:pPr>
    </w:p>
    <w:p w:rsidR="00C8330B" w:rsidRDefault="00C8330B" w:rsidP="004D1054">
      <w:pPr>
        <w:spacing w:line="200" w:lineRule="exact"/>
        <w:jc w:val="both"/>
        <w:rPr>
          <w:rFonts w:eastAsia="Times New Roman"/>
          <w:bCs/>
          <w:color w:val="181512"/>
        </w:rPr>
      </w:pPr>
    </w:p>
    <w:p w:rsidR="00C8330B" w:rsidRPr="00B114DC" w:rsidRDefault="00007E83" w:rsidP="00007E83">
      <w:pPr>
        <w:pStyle w:val="Body"/>
        <w:bidi w:val="0"/>
        <w:jc w:val="center"/>
        <w:rPr>
          <w:b/>
          <w:bCs/>
        </w:rPr>
      </w:pPr>
      <w:r>
        <w:rPr>
          <w:b/>
          <w:bCs/>
        </w:rPr>
        <w:t>Abstract</w:t>
      </w:r>
    </w:p>
    <w:p w:rsidR="00C8330B" w:rsidRDefault="00C8330B" w:rsidP="004D1054">
      <w:pPr>
        <w:spacing w:line="200" w:lineRule="exact"/>
        <w:jc w:val="both"/>
        <w:rPr>
          <w:rFonts w:eastAsia="Times New Roman"/>
          <w:bCs/>
          <w:color w:val="181512"/>
        </w:rPr>
      </w:pPr>
    </w:p>
    <w:p w:rsidR="00C8330B" w:rsidRDefault="00C8330B" w:rsidP="004D1054">
      <w:pPr>
        <w:spacing w:line="200" w:lineRule="exact"/>
        <w:jc w:val="both"/>
        <w:rPr>
          <w:rFonts w:eastAsia="Times New Roman"/>
          <w:bCs/>
          <w:color w:val="181512"/>
        </w:rPr>
      </w:pPr>
    </w:p>
    <w:p w:rsidR="00C8330B" w:rsidRDefault="00C8330B" w:rsidP="004D1054">
      <w:pPr>
        <w:spacing w:line="200" w:lineRule="exact"/>
        <w:jc w:val="both"/>
        <w:rPr>
          <w:rFonts w:eastAsia="Times New Roman"/>
          <w:bCs/>
          <w:color w:val="181512"/>
        </w:rPr>
      </w:pPr>
    </w:p>
    <w:p w:rsidR="00DB5DA7" w:rsidRPr="00347E39" w:rsidRDefault="004D1054" w:rsidP="00516B5B">
      <w:pPr>
        <w:spacing w:line="360" w:lineRule="auto"/>
        <w:jc w:val="both"/>
        <w:rPr>
          <w:rFonts w:asciiTheme="minorBidi" w:hAnsiTheme="minorBidi" w:cstheme="minorBidi"/>
          <w:sz w:val="22"/>
          <w:szCs w:val="22"/>
          <w:lang w:val="en-GB"/>
        </w:rPr>
      </w:pPr>
      <w:r w:rsidRPr="00347E39">
        <w:rPr>
          <w:rFonts w:asciiTheme="minorBidi" w:eastAsia="Times New Roman" w:hAnsiTheme="minorBidi" w:cstheme="minorBidi"/>
          <w:bCs/>
          <w:color w:val="181512"/>
          <w:sz w:val="22"/>
          <w:szCs w:val="22"/>
        </w:rPr>
        <w:t>Nutraceuticals, coined from ‘’ nutrition’’ and ‘’pharmaceutical’’, have always been considered as natural and safe supplemen</w:t>
      </w:r>
      <w:r w:rsidR="0068777D" w:rsidRPr="00347E39">
        <w:rPr>
          <w:rFonts w:asciiTheme="minorBidi" w:eastAsia="Times New Roman" w:hAnsiTheme="minorBidi" w:cstheme="minorBidi"/>
          <w:bCs/>
          <w:color w:val="181512"/>
          <w:sz w:val="22"/>
          <w:szCs w:val="22"/>
        </w:rPr>
        <w:t>ts that may prevent disease,</w:t>
      </w:r>
      <w:r w:rsidRPr="00347E39">
        <w:rPr>
          <w:rFonts w:asciiTheme="minorBidi" w:eastAsia="Times New Roman" w:hAnsiTheme="minorBidi" w:cstheme="minorBidi"/>
          <w:bCs/>
          <w:color w:val="181512"/>
          <w:sz w:val="22"/>
          <w:szCs w:val="22"/>
        </w:rPr>
        <w:t xml:space="preserve"> substitute prescription drugs, compensate for a poor diet or promote health. Several nutraceuticals </w:t>
      </w:r>
      <w:r w:rsidR="00CF7A0E" w:rsidRPr="00347E39">
        <w:rPr>
          <w:rFonts w:asciiTheme="minorBidi" w:eastAsia="Times New Roman" w:hAnsiTheme="minorBidi" w:cstheme="minorBidi"/>
          <w:bCs/>
          <w:color w:val="181512"/>
          <w:sz w:val="22"/>
          <w:szCs w:val="22"/>
        </w:rPr>
        <w:t xml:space="preserve">presented in the market </w:t>
      </w:r>
      <w:r w:rsidRPr="00347E39">
        <w:rPr>
          <w:rFonts w:asciiTheme="minorBidi" w:eastAsia="Times New Roman" w:hAnsiTheme="minorBidi" w:cstheme="minorBidi"/>
          <w:bCs/>
          <w:color w:val="181512"/>
          <w:sz w:val="22"/>
          <w:szCs w:val="22"/>
        </w:rPr>
        <w:t xml:space="preserve"> are antioxidants and probiotics. Different methods </w:t>
      </w:r>
      <w:r w:rsidR="00CF7A0E" w:rsidRPr="00347E39">
        <w:rPr>
          <w:rFonts w:asciiTheme="minorBidi" w:eastAsia="Times New Roman" w:hAnsiTheme="minorBidi" w:cstheme="minorBidi"/>
          <w:bCs/>
          <w:color w:val="181512"/>
          <w:sz w:val="22"/>
          <w:szCs w:val="22"/>
        </w:rPr>
        <w:t xml:space="preserve">such as spray drying </w:t>
      </w:r>
      <w:r w:rsidRPr="00347E39">
        <w:rPr>
          <w:rFonts w:asciiTheme="minorBidi" w:eastAsia="Times New Roman" w:hAnsiTheme="minorBidi" w:cstheme="minorBidi"/>
          <w:bCs/>
          <w:color w:val="181512"/>
          <w:sz w:val="22"/>
          <w:szCs w:val="22"/>
        </w:rPr>
        <w:t xml:space="preserve">have been suggested, examined and applied to encapsulate and dry probiotics and bioactive compounds. However, the harsh processing conditions of these methods </w:t>
      </w:r>
      <w:r w:rsidR="00CF7A0E" w:rsidRPr="00347E39">
        <w:rPr>
          <w:rFonts w:asciiTheme="minorBidi" w:eastAsia="Times New Roman" w:hAnsiTheme="minorBidi" w:cstheme="minorBidi"/>
          <w:bCs/>
          <w:color w:val="181512"/>
          <w:sz w:val="22"/>
          <w:szCs w:val="22"/>
        </w:rPr>
        <w:t>would</w:t>
      </w:r>
      <w:r w:rsidRPr="00347E39">
        <w:rPr>
          <w:rFonts w:asciiTheme="minorBidi" w:eastAsia="Times New Roman" w:hAnsiTheme="minorBidi" w:cstheme="minorBidi"/>
          <w:bCs/>
          <w:color w:val="181512"/>
          <w:sz w:val="22"/>
          <w:szCs w:val="22"/>
        </w:rPr>
        <w:t xml:space="preserve"> significantly reduce the viability of bacteria or damage the structure of the target molecules.</w:t>
      </w:r>
      <w:r w:rsidR="009622CC">
        <w:rPr>
          <w:rFonts w:asciiTheme="minorBidi" w:eastAsia="Times New Roman" w:hAnsiTheme="minorBidi" w:cstheme="minorBidi"/>
          <w:bCs/>
          <w:color w:val="181512"/>
          <w:sz w:val="22"/>
          <w:szCs w:val="22"/>
        </w:rPr>
        <w:t xml:space="preserve"> </w:t>
      </w:r>
      <w:r w:rsidR="00007E83" w:rsidRPr="00347E39">
        <w:rPr>
          <w:rFonts w:asciiTheme="minorBidi" w:eastAsia="Times New Roman" w:hAnsiTheme="minorBidi" w:cstheme="minorBidi"/>
          <w:bCs/>
          <w:i/>
          <w:iCs/>
          <w:color w:val="181512"/>
          <w:sz w:val="22"/>
          <w:szCs w:val="22"/>
        </w:rPr>
        <w:t>Electrohydrodynamic atomization</w:t>
      </w:r>
      <w:r w:rsidR="00007E83" w:rsidRPr="00347E39">
        <w:rPr>
          <w:rFonts w:asciiTheme="minorBidi" w:eastAsia="Times New Roman" w:hAnsiTheme="minorBidi" w:cstheme="minorBidi"/>
          <w:bCs/>
          <w:color w:val="181512"/>
          <w:sz w:val="22"/>
          <w:szCs w:val="22"/>
        </w:rPr>
        <w:t xml:space="preserve"> or </w:t>
      </w:r>
      <w:r w:rsidR="00007E83" w:rsidRPr="00347E39">
        <w:rPr>
          <w:rFonts w:asciiTheme="minorBidi" w:eastAsia="Times New Roman" w:hAnsiTheme="minorBidi" w:cstheme="minorBidi"/>
          <w:bCs/>
          <w:i/>
          <w:iCs/>
          <w:color w:val="181512"/>
          <w:sz w:val="22"/>
          <w:szCs w:val="22"/>
        </w:rPr>
        <w:t>Elecrospraying</w:t>
      </w:r>
      <w:r w:rsidR="009E01DA" w:rsidRPr="00347E39">
        <w:rPr>
          <w:rFonts w:asciiTheme="minorBidi" w:eastAsia="Times New Roman" w:hAnsiTheme="minorBidi" w:cstheme="minorBidi"/>
          <w:bCs/>
          <w:color w:val="181512"/>
          <w:sz w:val="22"/>
          <w:szCs w:val="22"/>
        </w:rPr>
        <w:t xml:space="preserve"> </w:t>
      </w:r>
      <w:r w:rsidR="00007E83" w:rsidRPr="00347E39">
        <w:rPr>
          <w:rFonts w:asciiTheme="minorBidi" w:hAnsiTheme="minorBidi" w:cstheme="minorBidi"/>
          <w:bCs/>
          <w:sz w:val="22"/>
          <w:szCs w:val="22"/>
        </w:rPr>
        <w:t>is</w:t>
      </w:r>
      <w:r w:rsidR="00007E83" w:rsidRPr="00347E39">
        <w:rPr>
          <w:rFonts w:asciiTheme="minorBidi" w:hAnsiTheme="minorBidi" w:cstheme="minorBidi"/>
          <w:sz w:val="22"/>
          <w:szCs w:val="22"/>
        </w:rPr>
        <w:t xml:space="preserve"> a potential answer to the demands of nanoparticle fabrication such as scalability, reproducibility and effective encapsulation in food nanotechnology. Electrospraying (and the related process of electrospinning) both show promise as a novel delivery vehicle for supplementary food compounds since the process can be carried out from an aqueous solution, at room temperature and without coagulation chemistry to produce matrices or particulates in the micro-and nano-range. The presentation of core materials at the nanoscale improves target ability to specific areas of the digestive tract and gives improved control of release rate. Adoption of these electrohydrodynamic atomization technologies will allow the industry to develop a wide range of novel high added value functional foods.</w:t>
      </w:r>
      <w:r w:rsidR="00397FF6" w:rsidRPr="00347E39">
        <w:rPr>
          <w:rFonts w:asciiTheme="minorBidi" w:hAnsiTheme="minorBidi" w:cstheme="minorBidi"/>
          <w:sz w:val="22"/>
          <w:szCs w:val="22"/>
        </w:rPr>
        <w:t xml:space="preserve"> The selection of an appropriate wall material is a critical issue in electrohydrodynamic encapsulation. Food hydrocolloids, according to their green and viable nature, are one of the best choices. The application of</w:t>
      </w:r>
      <w:r w:rsidR="00951135" w:rsidRPr="00347E39">
        <w:rPr>
          <w:rFonts w:asciiTheme="minorBidi" w:hAnsiTheme="minorBidi" w:cstheme="minorBidi"/>
          <w:sz w:val="22"/>
          <w:szCs w:val="22"/>
        </w:rPr>
        <w:t xml:space="preserve"> </w:t>
      </w:r>
      <w:r w:rsidR="00951135" w:rsidRPr="00347E39">
        <w:rPr>
          <w:rFonts w:asciiTheme="minorBidi" w:hAnsiTheme="minorBidi" w:cstheme="minorBidi"/>
          <w:i/>
          <w:iCs/>
          <w:sz w:val="22"/>
          <w:szCs w:val="22"/>
        </w:rPr>
        <w:t>Alyssum homolocarpum seed gum</w:t>
      </w:r>
      <w:r w:rsidR="00951135" w:rsidRPr="00347E39">
        <w:rPr>
          <w:rFonts w:asciiTheme="minorBidi" w:hAnsiTheme="minorBidi" w:cstheme="minorBidi"/>
          <w:sz w:val="22"/>
          <w:szCs w:val="22"/>
        </w:rPr>
        <w:t xml:space="preserve">, </w:t>
      </w:r>
      <w:r w:rsidR="00951135" w:rsidRPr="00347E39">
        <w:rPr>
          <w:rFonts w:asciiTheme="minorBidi" w:hAnsiTheme="minorBidi" w:cstheme="minorBidi"/>
          <w:i/>
          <w:iCs/>
          <w:sz w:val="22"/>
          <w:szCs w:val="22"/>
        </w:rPr>
        <w:t>Acacia gum</w:t>
      </w:r>
      <w:r w:rsidR="00951135" w:rsidRPr="00347E39">
        <w:rPr>
          <w:rFonts w:asciiTheme="minorBidi" w:hAnsiTheme="minorBidi" w:cstheme="minorBidi"/>
          <w:sz w:val="22"/>
          <w:szCs w:val="22"/>
        </w:rPr>
        <w:t>,</w:t>
      </w:r>
      <w:r w:rsidR="00951135" w:rsidRPr="00347E39">
        <w:rPr>
          <w:rFonts w:asciiTheme="minorBidi" w:hAnsiTheme="minorBidi" w:cstheme="minorBidi"/>
          <w:i/>
          <w:iCs/>
          <w:sz w:val="22"/>
          <w:szCs w:val="22"/>
        </w:rPr>
        <w:t>Guar gum</w:t>
      </w:r>
      <w:r w:rsidR="00951135" w:rsidRPr="00347E39">
        <w:rPr>
          <w:rFonts w:asciiTheme="minorBidi" w:hAnsiTheme="minorBidi" w:cstheme="minorBidi"/>
          <w:sz w:val="22"/>
          <w:szCs w:val="22"/>
        </w:rPr>
        <w:t>,</w:t>
      </w:r>
      <w:r w:rsidR="00951135" w:rsidRPr="00347E39">
        <w:rPr>
          <w:rFonts w:asciiTheme="minorBidi" w:hAnsiTheme="minorBidi" w:cstheme="minorBidi"/>
          <w:i/>
          <w:iCs/>
          <w:sz w:val="22"/>
          <w:szCs w:val="22"/>
        </w:rPr>
        <w:t>Tara gum</w:t>
      </w:r>
      <w:r w:rsidR="00951135" w:rsidRPr="00347E39">
        <w:rPr>
          <w:rFonts w:asciiTheme="minorBidi" w:hAnsiTheme="minorBidi" w:cstheme="minorBidi"/>
          <w:sz w:val="22"/>
          <w:szCs w:val="22"/>
        </w:rPr>
        <w:t>,</w:t>
      </w:r>
      <w:r w:rsidR="00951135" w:rsidRPr="00347E39">
        <w:rPr>
          <w:rFonts w:asciiTheme="minorBidi" w:hAnsiTheme="minorBidi" w:cstheme="minorBidi"/>
          <w:i/>
          <w:iCs/>
          <w:sz w:val="22"/>
          <w:szCs w:val="22"/>
        </w:rPr>
        <w:t>Inulin</w:t>
      </w:r>
      <w:r w:rsidR="00951135" w:rsidRPr="00347E39">
        <w:rPr>
          <w:rFonts w:asciiTheme="minorBidi" w:hAnsiTheme="minorBidi" w:cstheme="minorBidi"/>
          <w:sz w:val="22"/>
          <w:szCs w:val="22"/>
        </w:rPr>
        <w:t>,</w:t>
      </w:r>
      <w:r w:rsidR="00951135" w:rsidRPr="00347E39">
        <w:rPr>
          <w:rFonts w:asciiTheme="minorBidi" w:hAnsiTheme="minorBidi" w:cstheme="minorBidi"/>
          <w:i/>
          <w:iCs/>
          <w:sz w:val="22"/>
          <w:szCs w:val="22"/>
        </w:rPr>
        <w:t>Pectin</w:t>
      </w:r>
      <w:r w:rsidR="00951135" w:rsidRPr="00347E39">
        <w:rPr>
          <w:rFonts w:asciiTheme="minorBidi" w:hAnsiTheme="minorBidi" w:cstheme="minorBidi"/>
          <w:sz w:val="22"/>
          <w:szCs w:val="22"/>
        </w:rPr>
        <w:t>,</w:t>
      </w:r>
      <w:r w:rsidR="00951135" w:rsidRPr="00347E39">
        <w:rPr>
          <w:rFonts w:asciiTheme="minorBidi" w:hAnsiTheme="minorBidi" w:cstheme="minorBidi"/>
          <w:i/>
          <w:iCs/>
          <w:sz w:val="22"/>
          <w:szCs w:val="22"/>
        </w:rPr>
        <w:t>Starch</w:t>
      </w:r>
      <w:r w:rsidR="00951135" w:rsidRPr="00347E39">
        <w:rPr>
          <w:rFonts w:asciiTheme="minorBidi" w:hAnsiTheme="minorBidi" w:cstheme="minorBidi"/>
          <w:sz w:val="22"/>
          <w:szCs w:val="22"/>
        </w:rPr>
        <w:t>,</w:t>
      </w:r>
      <w:r w:rsidR="00951135" w:rsidRPr="00347E39">
        <w:rPr>
          <w:rFonts w:asciiTheme="minorBidi" w:hAnsiTheme="minorBidi" w:cstheme="minorBidi"/>
          <w:i/>
          <w:iCs/>
          <w:sz w:val="22"/>
          <w:szCs w:val="22"/>
        </w:rPr>
        <w:t>Alginate</w:t>
      </w:r>
      <w:r w:rsidR="00951135" w:rsidRPr="00347E39">
        <w:rPr>
          <w:rFonts w:asciiTheme="minorBidi" w:hAnsiTheme="minorBidi" w:cstheme="minorBidi"/>
          <w:sz w:val="22"/>
          <w:szCs w:val="22"/>
        </w:rPr>
        <w:t>,</w:t>
      </w:r>
      <w:r w:rsidR="00951135" w:rsidRPr="00347E39">
        <w:rPr>
          <w:rFonts w:asciiTheme="minorBidi" w:hAnsiTheme="minorBidi" w:cstheme="minorBidi"/>
          <w:i/>
          <w:iCs/>
          <w:sz w:val="22"/>
          <w:szCs w:val="22"/>
        </w:rPr>
        <w:t>Chitosan</w:t>
      </w:r>
      <w:r w:rsidR="00516B5B" w:rsidRPr="00347E39">
        <w:rPr>
          <w:rFonts w:asciiTheme="minorBidi" w:hAnsiTheme="minorBidi" w:cstheme="minorBidi"/>
          <w:sz w:val="22"/>
          <w:szCs w:val="22"/>
        </w:rPr>
        <w:t>,</w:t>
      </w:r>
      <w:r w:rsidR="00516B5B" w:rsidRPr="00347E39">
        <w:rPr>
          <w:rFonts w:asciiTheme="minorBidi" w:hAnsiTheme="minorBidi" w:cstheme="minorBidi"/>
        </w:rPr>
        <w:t xml:space="preserve"> </w:t>
      </w:r>
      <w:r w:rsidR="00516B5B" w:rsidRPr="00347E39">
        <w:rPr>
          <w:rFonts w:asciiTheme="minorBidi" w:hAnsiTheme="minorBidi" w:cstheme="minorBidi"/>
          <w:i/>
          <w:iCs/>
          <w:sz w:val="22"/>
          <w:szCs w:val="22"/>
        </w:rPr>
        <w:t xml:space="preserve">Pullulan </w:t>
      </w:r>
      <w:r w:rsidR="00516B5B" w:rsidRPr="00347E39">
        <w:rPr>
          <w:rFonts w:asciiTheme="minorBidi" w:hAnsiTheme="minorBidi" w:cstheme="minorBidi"/>
          <w:sz w:val="22"/>
          <w:szCs w:val="22"/>
        </w:rPr>
        <w:t>and</w:t>
      </w:r>
      <w:r w:rsidR="00951135" w:rsidRPr="00347E39">
        <w:rPr>
          <w:rFonts w:asciiTheme="minorBidi" w:hAnsiTheme="minorBidi" w:cstheme="minorBidi"/>
          <w:sz w:val="22"/>
          <w:szCs w:val="22"/>
        </w:rPr>
        <w:t xml:space="preserve"> </w:t>
      </w:r>
      <w:r w:rsidR="009E01DA" w:rsidRPr="00347E39">
        <w:rPr>
          <w:rFonts w:asciiTheme="minorBidi" w:hAnsiTheme="minorBidi" w:cstheme="minorBidi"/>
          <w:i/>
          <w:iCs/>
          <w:sz w:val="22"/>
          <w:szCs w:val="22"/>
        </w:rPr>
        <w:t>Celloluce</w:t>
      </w:r>
      <w:r w:rsidR="009E01DA" w:rsidRPr="00347E39">
        <w:rPr>
          <w:rFonts w:asciiTheme="minorBidi" w:hAnsiTheme="minorBidi" w:cstheme="minorBidi"/>
          <w:sz w:val="22"/>
          <w:szCs w:val="22"/>
        </w:rPr>
        <w:t xml:space="preserve"> </w:t>
      </w:r>
      <w:r w:rsidR="00397FF6" w:rsidRPr="00347E39">
        <w:rPr>
          <w:rFonts w:asciiTheme="minorBidi" w:hAnsiTheme="minorBidi" w:cstheme="minorBidi"/>
          <w:sz w:val="22"/>
          <w:szCs w:val="22"/>
        </w:rPr>
        <w:t>in the encapsulation of nutraceuticals via electrospraying method, have  recently</w:t>
      </w:r>
      <w:r w:rsidR="009E01DA" w:rsidRPr="00347E39">
        <w:rPr>
          <w:rFonts w:asciiTheme="minorBidi" w:hAnsiTheme="minorBidi" w:cstheme="minorBidi"/>
          <w:sz w:val="22"/>
          <w:szCs w:val="22"/>
        </w:rPr>
        <w:t xml:space="preserve"> been </w:t>
      </w:r>
      <w:r w:rsidR="00397FF6" w:rsidRPr="00347E39">
        <w:rPr>
          <w:rFonts w:asciiTheme="minorBidi" w:hAnsiTheme="minorBidi" w:cstheme="minorBidi"/>
          <w:sz w:val="22"/>
          <w:szCs w:val="22"/>
        </w:rPr>
        <w:t xml:space="preserve"> studied.</w:t>
      </w:r>
      <w:bookmarkStart w:id="0" w:name="_GoBack"/>
      <w:bookmarkEnd w:id="0"/>
    </w:p>
    <w:sectPr w:rsidR="00DB5DA7" w:rsidRPr="00347E39" w:rsidSect="00CB2757">
      <w:pgSz w:w="11906" w:h="16838"/>
      <w:pgMar w:top="1417" w:right="1417" w:bottom="1417" w:left="1417" w:header="709" w:footer="709" w:gutter="0"/>
      <w:cols w:space="709"/>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8839FC"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F4708"/>
    <w:multiLevelType w:val="singleLevel"/>
    <w:tmpl w:val="898A0B8C"/>
    <w:lvl w:ilvl="0">
      <w:start w:val="20"/>
      <w:numFmt w:val="decimal"/>
      <w:lvlText w:val="%1."/>
      <w:lvlJc w:val="left"/>
      <w:pPr>
        <w:tabs>
          <w:tab w:val="num" w:pos="1440"/>
        </w:tabs>
        <w:ind w:left="1440" w:hanging="1440"/>
      </w:pPr>
      <w:rPr>
        <w:rFonts w:ascii="Times New Roman" w:hAnsi="Times New Roman" w:cs="Times New Roman" w:hint="default"/>
      </w:rPr>
    </w:lvl>
  </w:abstractNum>
  <w:abstractNum w:abstractNumId="1">
    <w:nsid w:val="5BA10732"/>
    <w:multiLevelType w:val="singleLevel"/>
    <w:tmpl w:val="04140017"/>
    <w:lvl w:ilvl="0">
      <w:start w:val="15"/>
      <w:numFmt w:val="lowerLetter"/>
      <w:lvlText w:val="%1)"/>
      <w:lvlJc w:val="left"/>
      <w:pPr>
        <w:tabs>
          <w:tab w:val="num" w:pos="360"/>
        </w:tabs>
        <w:ind w:left="360" w:hanging="360"/>
      </w:pPr>
      <w:rPr>
        <w:rFonts w:ascii="Times New Roman" w:hAnsi="Times New Roman" w:cs="Times New Roman"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hareh Emadzadeh">
    <w15:presenceInfo w15:providerId="AD" w15:userId="S-1-5-21-1228681419-3687371910-4253850392-114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rsids>
    <w:rsidRoot w:val="00DB5DA7"/>
    <w:rsid w:val="00007E83"/>
    <w:rsid w:val="0006739E"/>
    <w:rsid w:val="001818D2"/>
    <w:rsid w:val="00211877"/>
    <w:rsid w:val="002331C7"/>
    <w:rsid w:val="002F6AC7"/>
    <w:rsid w:val="00347E39"/>
    <w:rsid w:val="00397FF6"/>
    <w:rsid w:val="003E1ED6"/>
    <w:rsid w:val="003E5D10"/>
    <w:rsid w:val="0041372D"/>
    <w:rsid w:val="004D1054"/>
    <w:rsid w:val="00516B5B"/>
    <w:rsid w:val="0068777D"/>
    <w:rsid w:val="006F69D6"/>
    <w:rsid w:val="007D6751"/>
    <w:rsid w:val="00920B7E"/>
    <w:rsid w:val="00951135"/>
    <w:rsid w:val="009622CC"/>
    <w:rsid w:val="009E01DA"/>
    <w:rsid w:val="00BA20D5"/>
    <w:rsid w:val="00C2709B"/>
    <w:rsid w:val="00C8330B"/>
    <w:rsid w:val="00CB2757"/>
    <w:rsid w:val="00CF7A0E"/>
    <w:rsid w:val="00DB5DA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757"/>
    <w:pPr>
      <w:autoSpaceDE w:val="0"/>
      <w:autoSpaceDN w:val="0"/>
    </w:pPr>
    <w:rPr>
      <w:rFonts w:eastAsia="SimSun"/>
      <w:lang w:val="nb-N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2757"/>
    <w:rPr>
      <w:rFonts w:ascii="Arial" w:hAnsi="Arial" w:cs="Arial"/>
      <w:sz w:val="24"/>
      <w:szCs w:val="24"/>
    </w:rPr>
  </w:style>
  <w:style w:type="paragraph" w:customStyle="1" w:styleId="Body">
    <w:name w:val="Body"/>
    <w:rsid w:val="00C8330B"/>
    <w:pPr>
      <w:pBdr>
        <w:top w:val="nil"/>
        <w:left w:val="nil"/>
        <w:bottom w:val="nil"/>
        <w:right w:val="nil"/>
        <w:between w:val="nil"/>
        <w:bar w:val="nil"/>
      </w:pBdr>
      <w:bidi/>
    </w:pPr>
    <w:rPr>
      <w:rFonts w:ascii="Helvetica" w:eastAsia="Arial Unicode MS" w:hAnsi="Helvetica" w:cs="Arial Unicode MS"/>
      <w:color w:val="000000"/>
      <w:sz w:val="22"/>
      <w:szCs w:val="22"/>
      <w:bdr w:val="nil"/>
    </w:rPr>
  </w:style>
  <w:style w:type="character" w:styleId="CommentReference">
    <w:name w:val="annotation reference"/>
    <w:basedOn w:val="DefaultParagraphFont"/>
    <w:semiHidden/>
    <w:unhideWhenUsed/>
    <w:rsid w:val="00397FF6"/>
    <w:rPr>
      <w:sz w:val="16"/>
      <w:szCs w:val="16"/>
    </w:rPr>
  </w:style>
  <w:style w:type="paragraph" w:styleId="CommentText">
    <w:name w:val="annotation text"/>
    <w:basedOn w:val="Normal"/>
    <w:link w:val="CommentTextChar"/>
    <w:semiHidden/>
    <w:unhideWhenUsed/>
    <w:rsid w:val="00397FF6"/>
  </w:style>
  <w:style w:type="character" w:customStyle="1" w:styleId="CommentTextChar">
    <w:name w:val="Comment Text Char"/>
    <w:basedOn w:val="DefaultParagraphFont"/>
    <w:link w:val="CommentText"/>
    <w:semiHidden/>
    <w:rsid w:val="00397FF6"/>
    <w:rPr>
      <w:rFonts w:eastAsia="SimSun"/>
      <w:lang w:val="nb-NO" w:eastAsia="zh-CN"/>
    </w:rPr>
  </w:style>
  <w:style w:type="paragraph" w:styleId="CommentSubject">
    <w:name w:val="annotation subject"/>
    <w:basedOn w:val="CommentText"/>
    <w:next w:val="CommentText"/>
    <w:link w:val="CommentSubjectChar"/>
    <w:semiHidden/>
    <w:unhideWhenUsed/>
    <w:rsid w:val="00397FF6"/>
    <w:rPr>
      <w:b/>
      <w:bCs/>
    </w:rPr>
  </w:style>
  <w:style w:type="character" w:customStyle="1" w:styleId="CommentSubjectChar">
    <w:name w:val="Comment Subject Char"/>
    <w:basedOn w:val="CommentTextChar"/>
    <w:link w:val="CommentSubject"/>
    <w:semiHidden/>
    <w:rsid w:val="00397FF6"/>
    <w:rPr>
      <w:rFonts w:eastAsia="SimSun"/>
      <w:b/>
      <w:bCs/>
      <w:lang w:val="nb-NO" w:eastAsia="zh-CN"/>
    </w:rPr>
  </w:style>
  <w:style w:type="paragraph" w:styleId="BalloonText">
    <w:name w:val="Balloon Text"/>
    <w:basedOn w:val="Normal"/>
    <w:link w:val="BalloonTextChar"/>
    <w:semiHidden/>
    <w:unhideWhenUsed/>
    <w:rsid w:val="00397FF6"/>
    <w:rPr>
      <w:rFonts w:ascii="Segoe UI" w:hAnsi="Segoe UI" w:cs="Segoe UI"/>
      <w:sz w:val="18"/>
      <w:szCs w:val="18"/>
    </w:rPr>
  </w:style>
  <w:style w:type="character" w:customStyle="1" w:styleId="BalloonTextChar">
    <w:name w:val="Balloon Text Char"/>
    <w:basedOn w:val="DefaultParagraphFont"/>
    <w:link w:val="BalloonText"/>
    <w:semiHidden/>
    <w:rsid w:val="00397FF6"/>
    <w:rPr>
      <w:rFonts w:ascii="Segoe UI" w:eastAsia="SimSun" w:hAnsi="Segoe UI" w:cs="Segoe UI"/>
      <w:sz w:val="18"/>
      <w:szCs w:val="18"/>
      <w:lang w:val="nb-NO" w:eastAsia="zh-CN"/>
    </w:rPr>
  </w:style>
</w:styles>
</file>

<file path=word/webSettings.xml><?xml version="1.0" encoding="utf-8"?>
<w:webSettings xmlns:r="http://schemas.openxmlformats.org/officeDocument/2006/relationships" xmlns:w="http://schemas.openxmlformats.org/wordprocessingml/2006/main">
  <w:divs>
    <w:div w:id="24067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This is the title of your presentation</vt:lpstr>
    </vt:vector>
  </TitlesOfParts>
  <Company>NTNU</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 of your presentation</dc:title>
  <dc:creator>kdraget</dc:creator>
  <cp:lastModifiedBy>B.Ghorani</cp:lastModifiedBy>
  <cp:revision>4</cp:revision>
  <cp:lastPrinted>2008-01-25T10:52:00Z</cp:lastPrinted>
  <dcterms:created xsi:type="dcterms:W3CDTF">2017-04-03T08:39:00Z</dcterms:created>
  <dcterms:modified xsi:type="dcterms:W3CDTF">2017-04-03T08:43:00Z</dcterms:modified>
</cp:coreProperties>
</file>