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49E2" w14:textId="15427768" w:rsidR="00DB5DA7" w:rsidRDefault="003A23CE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3A23CE">
        <w:rPr>
          <w:rFonts w:ascii="Arial" w:hAnsi="Arial" w:cs="Arial"/>
          <w:b/>
          <w:bCs/>
          <w:sz w:val="32"/>
          <w:szCs w:val="32"/>
          <w:lang w:val="en-GB"/>
        </w:rPr>
        <w:t xml:space="preserve">Decoding Gum Arabic: Unraveling the </w:t>
      </w:r>
      <w:r w:rsidR="00EC2606">
        <w:rPr>
          <w:rFonts w:ascii="Arial" w:hAnsi="Arial" w:cs="Arial"/>
          <w:b/>
          <w:bCs/>
          <w:sz w:val="32"/>
          <w:szCs w:val="32"/>
          <w:lang w:val="en-GB"/>
        </w:rPr>
        <w:t>C</w:t>
      </w:r>
      <w:r w:rsidR="00F42519">
        <w:rPr>
          <w:rFonts w:ascii="Arial" w:hAnsi="Arial" w:cs="Arial"/>
          <w:b/>
          <w:bCs/>
          <w:sz w:val="32"/>
          <w:szCs w:val="32"/>
          <w:lang w:val="en-GB"/>
        </w:rPr>
        <w:t>onnection</w:t>
      </w:r>
      <w:r w:rsidRPr="003A23CE">
        <w:rPr>
          <w:rFonts w:ascii="Arial" w:hAnsi="Arial" w:cs="Arial"/>
          <w:b/>
          <w:bCs/>
          <w:sz w:val="32"/>
          <w:szCs w:val="32"/>
          <w:lang w:val="en-GB"/>
        </w:rPr>
        <w:t xml:space="preserve"> Between Structure and Functionality</w:t>
      </w:r>
      <w:r>
        <w:rPr>
          <w:rFonts w:ascii="Arial" w:hAnsi="Arial" w:cs="Arial"/>
          <w:b/>
          <w:bCs/>
          <w:sz w:val="32"/>
          <w:szCs w:val="32"/>
          <w:lang w:val="en-GB"/>
        </w:rPr>
        <w:t>.</w:t>
      </w:r>
    </w:p>
    <w:p w14:paraId="4EB13A9E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0229F3C" w14:textId="248DD752" w:rsidR="00DB5DA7" w:rsidRPr="00337ACC" w:rsidRDefault="006047D8">
      <w:pPr>
        <w:jc w:val="both"/>
        <w:rPr>
          <w:sz w:val="24"/>
          <w:szCs w:val="24"/>
          <w:lang w:val="de-DE"/>
        </w:rPr>
      </w:pPr>
      <w:r w:rsidRPr="00A23A90">
        <w:rPr>
          <w:sz w:val="24"/>
          <w:szCs w:val="24"/>
          <w:u w:val="single"/>
          <w:lang w:val="de-DE"/>
        </w:rPr>
        <w:t>F Kersten</w:t>
      </w:r>
      <w:r w:rsidR="00DB5DA7" w:rsidRPr="00337ACC">
        <w:rPr>
          <w:sz w:val="24"/>
          <w:szCs w:val="24"/>
          <w:vertAlign w:val="superscript"/>
          <w:lang w:val="de-DE"/>
        </w:rPr>
        <w:t>1</w:t>
      </w:r>
      <w:r w:rsidR="00DB5DA7" w:rsidRPr="00337ACC">
        <w:rPr>
          <w:sz w:val="24"/>
          <w:szCs w:val="24"/>
          <w:lang w:val="de-DE"/>
        </w:rPr>
        <w:t xml:space="preserve">, </w:t>
      </w:r>
      <w:r w:rsidR="009F085D" w:rsidRPr="00337ACC">
        <w:rPr>
          <w:sz w:val="24"/>
          <w:szCs w:val="24"/>
          <w:lang w:val="de-DE"/>
        </w:rPr>
        <w:t>D Martin</w:t>
      </w:r>
      <w:r w:rsidR="00DB5DA7" w:rsidRPr="00337ACC">
        <w:rPr>
          <w:sz w:val="24"/>
          <w:szCs w:val="24"/>
          <w:vertAlign w:val="superscript"/>
          <w:lang w:val="de-DE"/>
        </w:rPr>
        <w:t>2</w:t>
      </w:r>
      <w:r w:rsidR="00741FFD" w:rsidRPr="00337ACC">
        <w:rPr>
          <w:sz w:val="24"/>
          <w:szCs w:val="24"/>
          <w:lang w:val="de-DE"/>
        </w:rPr>
        <w:t xml:space="preserve">, </w:t>
      </w:r>
      <w:r w:rsidR="009F085D" w:rsidRPr="00337ACC">
        <w:rPr>
          <w:sz w:val="24"/>
          <w:szCs w:val="24"/>
          <w:lang w:val="de-DE"/>
        </w:rPr>
        <w:t>U</w:t>
      </w:r>
      <w:r w:rsidR="00ED497E" w:rsidRPr="00337ACC">
        <w:rPr>
          <w:sz w:val="24"/>
          <w:szCs w:val="24"/>
          <w:lang w:val="de-DE"/>
        </w:rPr>
        <w:t>S</w:t>
      </w:r>
      <w:r w:rsidR="009F085D" w:rsidRPr="00337ACC">
        <w:rPr>
          <w:sz w:val="24"/>
          <w:szCs w:val="24"/>
          <w:lang w:val="de-DE"/>
        </w:rPr>
        <w:t xml:space="preserve"> van der Schaaf</w:t>
      </w:r>
      <w:r w:rsidR="00DB5DA7" w:rsidRPr="00337ACC">
        <w:rPr>
          <w:sz w:val="24"/>
          <w:szCs w:val="24"/>
          <w:vertAlign w:val="superscript"/>
          <w:lang w:val="de-DE"/>
        </w:rPr>
        <w:t>2</w:t>
      </w:r>
      <w:r w:rsidR="00741FFD" w:rsidRPr="00337ACC">
        <w:rPr>
          <w:sz w:val="24"/>
          <w:szCs w:val="24"/>
          <w:vertAlign w:val="superscript"/>
          <w:lang w:val="de-DE"/>
        </w:rPr>
        <w:t xml:space="preserve"> </w:t>
      </w:r>
      <w:r w:rsidR="00741FFD" w:rsidRPr="00337ACC">
        <w:rPr>
          <w:sz w:val="24"/>
          <w:szCs w:val="24"/>
          <w:lang w:val="de-DE"/>
        </w:rPr>
        <w:t>and D Wefers</w:t>
      </w:r>
      <w:r w:rsidR="00741FFD" w:rsidRPr="00337ACC">
        <w:rPr>
          <w:sz w:val="24"/>
          <w:szCs w:val="24"/>
          <w:vertAlign w:val="superscript"/>
          <w:lang w:val="de-DE"/>
        </w:rPr>
        <w:t>1</w:t>
      </w:r>
    </w:p>
    <w:p w14:paraId="4B43807C" w14:textId="77777777" w:rsidR="00DB5DA7" w:rsidRPr="00337ACC" w:rsidRDefault="00DB5DA7">
      <w:pPr>
        <w:jc w:val="both"/>
        <w:rPr>
          <w:sz w:val="24"/>
          <w:szCs w:val="24"/>
          <w:lang w:val="de-DE"/>
        </w:rPr>
      </w:pPr>
    </w:p>
    <w:p w14:paraId="65BDF394" w14:textId="6B3877EE" w:rsidR="00810541" w:rsidRPr="00810541" w:rsidRDefault="00D55B5D" w:rsidP="00810541">
      <w:pPr>
        <w:jc w:val="both"/>
        <w:rPr>
          <w:i/>
          <w:iCs/>
          <w:sz w:val="24"/>
          <w:szCs w:val="24"/>
          <w:lang w:val="en-GB"/>
        </w:rPr>
      </w:pPr>
      <w:r w:rsidRPr="00D55B5D">
        <w:rPr>
          <w:i/>
          <w:iCs/>
          <w:sz w:val="24"/>
          <w:szCs w:val="24"/>
          <w:vertAlign w:val="superscript"/>
          <w:lang w:val="en-GB"/>
        </w:rPr>
        <w:t>1</w:t>
      </w:r>
      <w:r>
        <w:rPr>
          <w:i/>
          <w:iCs/>
          <w:sz w:val="24"/>
          <w:szCs w:val="24"/>
          <w:lang w:val="en-GB"/>
        </w:rPr>
        <w:t xml:space="preserve"> I</w:t>
      </w:r>
      <w:r w:rsidR="00810541" w:rsidRPr="00D55B5D">
        <w:rPr>
          <w:rFonts w:hint="eastAsia"/>
          <w:i/>
          <w:iCs/>
          <w:sz w:val="24"/>
          <w:szCs w:val="24"/>
          <w:lang w:val="en-GB"/>
        </w:rPr>
        <w:t>nstitute</w:t>
      </w:r>
      <w:r w:rsidR="00810541" w:rsidRPr="00810541">
        <w:rPr>
          <w:rFonts w:hint="eastAsia"/>
          <w:i/>
          <w:iCs/>
          <w:sz w:val="24"/>
          <w:szCs w:val="24"/>
          <w:lang w:val="en-GB"/>
        </w:rPr>
        <w:t xml:space="preserve"> of Chemistry, Food Chemistry, Martin Luther University Halle-Wittenberg, Kurt-</w:t>
      </w:r>
    </w:p>
    <w:p w14:paraId="1A8AADAB" w14:textId="24DDEF94" w:rsidR="00810541" w:rsidRPr="00810541" w:rsidRDefault="00810541" w:rsidP="00810541">
      <w:pPr>
        <w:jc w:val="both"/>
        <w:rPr>
          <w:i/>
          <w:iCs/>
          <w:sz w:val="24"/>
          <w:szCs w:val="24"/>
          <w:lang w:val="en-GB"/>
        </w:rPr>
      </w:pPr>
      <w:r w:rsidRPr="00810541">
        <w:rPr>
          <w:rFonts w:hint="eastAsia"/>
          <w:i/>
          <w:iCs/>
          <w:sz w:val="24"/>
          <w:szCs w:val="24"/>
          <w:lang w:val="en-GB"/>
        </w:rPr>
        <w:t>Mothes-Str. 2, 06120 Halle (Saale), Germany</w:t>
      </w:r>
    </w:p>
    <w:p w14:paraId="553536A3" w14:textId="44E091E6" w:rsidR="00810541" w:rsidRPr="00810541" w:rsidRDefault="008906D4" w:rsidP="00810541">
      <w:pPr>
        <w:jc w:val="both"/>
        <w:rPr>
          <w:i/>
          <w:iCs/>
          <w:sz w:val="24"/>
          <w:szCs w:val="24"/>
          <w:lang w:val="en-GB"/>
        </w:rPr>
      </w:pPr>
      <w:r w:rsidRPr="008906D4">
        <w:rPr>
          <w:i/>
          <w:iCs/>
          <w:sz w:val="24"/>
          <w:szCs w:val="24"/>
          <w:vertAlign w:val="superscript"/>
          <w:lang w:val="en-GB"/>
        </w:rPr>
        <w:t>2</w:t>
      </w:r>
      <w:r w:rsidR="00810541" w:rsidRPr="00810541">
        <w:rPr>
          <w:rFonts w:hint="eastAsia"/>
          <w:i/>
          <w:iCs/>
          <w:sz w:val="24"/>
          <w:szCs w:val="24"/>
          <w:lang w:val="en-GB"/>
        </w:rPr>
        <w:t xml:space="preserve"> Karlsruhe Institute of Technology, Institute of Process Engineering in Life Sciences </w:t>
      </w:r>
      <w:r w:rsidR="00810541" w:rsidRPr="00810541">
        <w:rPr>
          <w:rFonts w:hint="eastAsia"/>
          <w:i/>
          <w:iCs/>
          <w:sz w:val="24"/>
          <w:szCs w:val="24"/>
          <w:lang w:val="en-GB"/>
        </w:rPr>
        <w:t>–</w:t>
      </w:r>
      <w:r w:rsidR="00810541" w:rsidRPr="00810541">
        <w:rPr>
          <w:rFonts w:hint="eastAsia"/>
          <w:i/>
          <w:iCs/>
          <w:sz w:val="24"/>
          <w:szCs w:val="24"/>
          <w:lang w:val="en-GB"/>
        </w:rPr>
        <w:t xml:space="preserve"> Food</w:t>
      </w:r>
    </w:p>
    <w:p w14:paraId="0FB20067" w14:textId="22D627EE" w:rsidR="00DB5DA7" w:rsidRDefault="00810541" w:rsidP="008906D4">
      <w:pPr>
        <w:jc w:val="both"/>
        <w:rPr>
          <w:i/>
          <w:iCs/>
          <w:sz w:val="24"/>
          <w:szCs w:val="24"/>
          <w:lang w:val="en-US"/>
        </w:rPr>
      </w:pPr>
      <w:r w:rsidRPr="00810541">
        <w:rPr>
          <w:rFonts w:hint="eastAsia"/>
          <w:i/>
          <w:iCs/>
          <w:sz w:val="24"/>
          <w:szCs w:val="24"/>
          <w:lang w:val="en-GB"/>
        </w:rPr>
        <w:t>Process Engineering, Gotthard-Franz-Str. 3, Building 50.31, 76131, Karlsruhe, Germany</w:t>
      </w:r>
    </w:p>
    <w:p w14:paraId="3AC62930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5F26F200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3AB7382A" w14:textId="6735CCFC" w:rsidR="00927D57" w:rsidRPr="00927D57" w:rsidRDefault="00927D57" w:rsidP="001C5A88">
      <w:pPr>
        <w:pStyle w:val="p1"/>
        <w:jc w:val="both"/>
        <w:divId w:val="1099639057"/>
        <w:rPr>
          <w:rFonts w:ascii="Arial" w:eastAsia="SimSun" w:hAnsi="Arial" w:cs="Arial"/>
          <w:color w:val="auto"/>
          <w:sz w:val="22"/>
          <w:szCs w:val="22"/>
          <w:lang w:val="en-GB" w:eastAsia="zh-CN"/>
        </w:rPr>
      </w:pPr>
      <w:r w:rsidRPr="00927D57">
        <w:rPr>
          <w:rFonts w:ascii="Arial" w:hAnsi="Arial" w:cs="Arial"/>
          <w:sz w:val="22"/>
          <w:szCs w:val="22"/>
          <w:lang w:val="en-GB"/>
        </w:rPr>
        <w:t xml:space="preserve">Gum </w:t>
      </w:r>
      <w:proofErr w:type="spellStart"/>
      <w:r w:rsidR="001E70D5">
        <w:rPr>
          <w:rFonts w:ascii="Arial" w:hAnsi="Arial" w:cs="Arial"/>
          <w:sz w:val="22"/>
          <w:szCs w:val="22"/>
          <w:lang w:val="en-GB"/>
        </w:rPr>
        <w:t>a</w:t>
      </w:r>
      <w:r w:rsidRPr="00927D57">
        <w:rPr>
          <w:rFonts w:ascii="Arial" w:hAnsi="Arial" w:cs="Arial"/>
          <w:sz w:val="22"/>
          <w:szCs w:val="22"/>
          <w:lang w:val="en-GB"/>
        </w:rPr>
        <w:t>rabic</w:t>
      </w:r>
      <w:proofErr w:type="spellEnd"/>
      <w:r w:rsidRPr="00927D57">
        <w:rPr>
          <w:rFonts w:ascii="Arial" w:hAnsi="Arial" w:cs="Arial"/>
          <w:sz w:val="22"/>
          <w:szCs w:val="22"/>
          <w:lang w:val="en-GB"/>
        </w:rPr>
        <w:t xml:space="preserve"> (GA)</w:t>
      </w:r>
      <w:r w:rsidR="00A92378">
        <w:rPr>
          <w:rFonts w:ascii="Arial" w:hAnsi="Arial" w:cs="Arial"/>
          <w:sz w:val="22"/>
          <w:szCs w:val="22"/>
          <w:lang w:val="en-GB"/>
        </w:rPr>
        <w:t xml:space="preserve">, </w:t>
      </w:r>
      <w:r w:rsidR="00337ACC">
        <w:rPr>
          <w:rFonts w:ascii="Arial" w:hAnsi="Arial" w:cs="Arial"/>
          <w:sz w:val="22"/>
          <w:szCs w:val="22"/>
          <w:lang w:val="en-GB"/>
        </w:rPr>
        <w:t xml:space="preserve">the </w:t>
      </w:r>
      <w:r w:rsidR="00A92378">
        <w:rPr>
          <w:rFonts w:ascii="Arial" w:hAnsi="Arial" w:cs="Arial"/>
          <w:sz w:val="22"/>
          <w:szCs w:val="22"/>
          <w:lang w:val="en-GB"/>
        </w:rPr>
        <w:t>exudate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 from </w:t>
      </w:r>
      <w:r w:rsidRPr="00927D57">
        <w:rPr>
          <w:rFonts w:ascii="Arial" w:hAnsi="Arial" w:cs="Arial"/>
          <w:i/>
          <w:iCs/>
          <w:sz w:val="22"/>
          <w:szCs w:val="22"/>
          <w:lang w:val="en-GB"/>
        </w:rPr>
        <w:t xml:space="preserve">Acacia </w:t>
      </w:r>
      <w:proofErr w:type="spellStart"/>
      <w:r w:rsidRPr="00927D57">
        <w:rPr>
          <w:rFonts w:ascii="Arial" w:hAnsi="Arial" w:cs="Arial"/>
          <w:i/>
          <w:iCs/>
          <w:sz w:val="22"/>
          <w:szCs w:val="22"/>
          <w:lang w:val="en-GB"/>
        </w:rPr>
        <w:t>senegal</w:t>
      </w:r>
      <w:proofErr w:type="spellEnd"/>
      <w:r w:rsidR="00A92378">
        <w:rPr>
          <w:rFonts w:ascii="Arial" w:hAnsi="Arial" w:cs="Arial"/>
          <w:sz w:val="22"/>
          <w:szCs w:val="22"/>
          <w:lang w:val="en-GB"/>
        </w:rPr>
        <w:t>,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 is </w:t>
      </w:r>
      <w:r w:rsidR="00BB4CF2">
        <w:rPr>
          <w:rFonts w:ascii="Arial" w:hAnsi="Arial" w:cs="Arial"/>
          <w:sz w:val="22"/>
          <w:szCs w:val="22"/>
          <w:lang w:val="en-GB"/>
        </w:rPr>
        <w:t xml:space="preserve">commonly 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used to stabilize </w:t>
      </w:r>
      <w:r w:rsidR="00BB4CF2">
        <w:rPr>
          <w:rFonts w:ascii="Arial" w:hAnsi="Arial" w:cs="Arial"/>
          <w:sz w:val="22"/>
          <w:szCs w:val="22"/>
          <w:lang w:val="en-GB"/>
        </w:rPr>
        <w:t>aroma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 oil and beverage emulsions due to its </w:t>
      </w:r>
      <w:r w:rsidR="00D7332F">
        <w:rPr>
          <w:rFonts w:ascii="Arial" w:hAnsi="Arial" w:cs="Arial"/>
          <w:sz w:val="22"/>
          <w:szCs w:val="22"/>
          <w:lang w:val="en-GB"/>
        </w:rPr>
        <w:t>amphiphilic ch</w:t>
      </w:r>
      <w:r w:rsidR="005B5853">
        <w:rPr>
          <w:rFonts w:ascii="Arial" w:hAnsi="Arial" w:cs="Arial"/>
          <w:sz w:val="22"/>
          <w:szCs w:val="22"/>
          <w:lang w:val="en-GB"/>
        </w:rPr>
        <w:t xml:space="preserve">aracter, </w:t>
      </w:r>
      <w:r w:rsidRPr="00927D57">
        <w:rPr>
          <w:rFonts w:ascii="Arial" w:hAnsi="Arial" w:cs="Arial"/>
          <w:sz w:val="22"/>
          <w:szCs w:val="22"/>
          <w:lang w:val="en-GB"/>
        </w:rPr>
        <w:t>high emulsifying capacity</w:t>
      </w:r>
      <w:r w:rsidR="00C43822">
        <w:rPr>
          <w:rFonts w:ascii="Arial" w:hAnsi="Arial" w:cs="Arial"/>
          <w:sz w:val="22"/>
          <w:szCs w:val="22"/>
          <w:lang w:val="en-GB"/>
        </w:rPr>
        <w:t>,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 and very low viscosity in aqueous solution. GA </w:t>
      </w:r>
      <w:r w:rsidR="00BC542B">
        <w:rPr>
          <w:rFonts w:ascii="Arial" w:hAnsi="Arial" w:cs="Arial"/>
          <w:sz w:val="22"/>
          <w:szCs w:val="22"/>
          <w:lang w:val="en-GB"/>
        </w:rPr>
        <w:t xml:space="preserve">emulsions </w:t>
      </w:r>
      <w:r w:rsidR="005B5853">
        <w:rPr>
          <w:rFonts w:ascii="Arial" w:hAnsi="Arial" w:cs="Arial"/>
          <w:sz w:val="22"/>
          <w:szCs w:val="22"/>
          <w:lang w:val="en-GB"/>
        </w:rPr>
        <w:t xml:space="preserve">are able to 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prevent coalescence over extended </w:t>
      </w:r>
      <w:r w:rsidR="00BC542B">
        <w:rPr>
          <w:rFonts w:ascii="Arial" w:hAnsi="Arial" w:cs="Arial"/>
          <w:sz w:val="22"/>
          <w:szCs w:val="22"/>
          <w:lang w:val="en-GB"/>
        </w:rPr>
        <w:t xml:space="preserve">storage </w:t>
      </w:r>
      <w:r w:rsidRPr="00927D57">
        <w:rPr>
          <w:rFonts w:ascii="Arial" w:hAnsi="Arial" w:cs="Arial"/>
          <w:sz w:val="22"/>
          <w:szCs w:val="22"/>
          <w:lang w:val="en-GB"/>
        </w:rPr>
        <w:t>periods.</w:t>
      </w:r>
      <w:r w:rsidR="001C3E6B">
        <w:rPr>
          <w:rFonts w:ascii="Arial" w:hAnsi="Arial" w:cs="Arial"/>
          <w:sz w:val="22"/>
          <w:szCs w:val="22"/>
          <w:lang w:val="en-GB"/>
        </w:rPr>
        <w:t xml:space="preserve"> </w:t>
      </w:r>
      <w:r w:rsidR="00C01599" w:rsidRPr="00C01599">
        <w:rPr>
          <w:rFonts w:ascii="Arial" w:hAnsi="Arial" w:cs="Arial"/>
          <w:sz w:val="22"/>
          <w:szCs w:val="22"/>
          <w:lang w:val="en-GB"/>
        </w:rPr>
        <w:t xml:space="preserve">Despite </w:t>
      </w:r>
      <w:r w:rsidR="00E40222">
        <w:rPr>
          <w:rFonts w:ascii="Arial" w:hAnsi="Arial" w:cs="Arial"/>
          <w:sz w:val="22"/>
          <w:szCs w:val="22"/>
          <w:lang w:val="en-GB"/>
        </w:rPr>
        <w:t xml:space="preserve">its </w:t>
      </w:r>
      <w:r w:rsidR="00C01599" w:rsidRPr="00C01599">
        <w:rPr>
          <w:rFonts w:ascii="Arial" w:hAnsi="Arial" w:cs="Arial"/>
          <w:sz w:val="22"/>
          <w:szCs w:val="22"/>
          <w:lang w:val="en-GB"/>
        </w:rPr>
        <w:t xml:space="preserve">wide use and overall excellent </w:t>
      </w:r>
      <w:proofErr w:type="spellStart"/>
      <w:r w:rsidR="00C01599" w:rsidRPr="00C01599">
        <w:rPr>
          <w:rFonts w:ascii="Arial" w:hAnsi="Arial" w:cs="Arial"/>
          <w:sz w:val="22"/>
          <w:szCs w:val="22"/>
          <w:lang w:val="en-GB"/>
        </w:rPr>
        <w:t>technofunctional</w:t>
      </w:r>
      <w:proofErr w:type="spellEnd"/>
      <w:r w:rsidR="00C01599" w:rsidRPr="00C01599">
        <w:rPr>
          <w:rFonts w:ascii="Arial" w:hAnsi="Arial" w:cs="Arial"/>
          <w:sz w:val="22"/>
          <w:szCs w:val="22"/>
          <w:lang w:val="en-GB"/>
        </w:rPr>
        <w:t xml:space="preserve"> properties, </w:t>
      </w:r>
      <w:r w:rsidR="00337ACC">
        <w:rPr>
          <w:rFonts w:ascii="Arial" w:hAnsi="Arial" w:cs="Arial"/>
          <w:sz w:val="22"/>
          <w:szCs w:val="22"/>
          <w:lang w:val="en-GB"/>
        </w:rPr>
        <w:t xml:space="preserve">the molecular reasons for the </w:t>
      </w:r>
      <w:r w:rsidR="00C01599" w:rsidRPr="00C01599">
        <w:rPr>
          <w:rFonts w:ascii="Arial" w:hAnsi="Arial" w:cs="Arial"/>
          <w:sz w:val="22"/>
          <w:szCs w:val="22"/>
          <w:lang w:val="en-GB"/>
        </w:rPr>
        <w:t xml:space="preserve">functional differences </w:t>
      </w:r>
      <w:r w:rsidR="000E0E19">
        <w:rPr>
          <w:rFonts w:ascii="Arial" w:hAnsi="Arial" w:cs="Arial"/>
          <w:sz w:val="22"/>
          <w:szCs w:val="22"/>
          <w:lang w:val="en-GB"/>
        </w:rPr>
        <w:t xml:space="preserve">among </w:t>
      </w:r>
      <w:r w:rsidR="007B247A">
        <w:rPr>
          <w:rFonts w:ascii="Arial" w:hAnsi="Arial" w:cs="Arial"/>
          <w:sz w:val="22"/>
          <w:szCs w:val="22"/>
          <w:lang w:val="en-GB"/>
        </w:rPr>
        <w:t xml:space="preserve">various </w:t>
      </w:r>
      <w:r w:rsidR="00C01599" w:rsidRPr="00C01599">
        <w:rPr>
          <w:rFonts w:ascii="Arial" w:hAnsi="Arial" w:cs="Arial"/>
          <w:sz w:val="22"/>
          <w:szCs w:val="22"/>
          <w:lang w:val="en-GB"/>
        </w:rPr>
        <w:t xml:space="preserve">GA </w:t>
      </w:r>
      <w:r w:rsidR="00D36C64">
        <w:rPr>
          <w:rFonts w:ascii="Arial" w:hAnsi="Arial" w:cs="Arial"/>
          <w:sz w:val="22"/>
          <w:szCs w:val="22"/>
          <w:lang w:val="en-GB"/>
        </w:rPr>
        <w:t>batches</w:t>
      </w:r>
      <w:r w:rsidR="00337ACC">
        <w:rPr>
          <w:rFonts w:ascii="Arial" w:hAnsi="Arial" w:cs="Arial"/>
          <w:sz w:val="22"/>
          <w:szCs w:val="22"/>
          <w:lang w:val="en-GB"/>
        </w:rPr>
        <w:t xml:space="preserve"> remain relatively unclear</w:t>
      </w:r>
      <w:r w:rsidR="00E40222">
        <w:rPr>
          <w:rFonts w:ascii="Arial" w:hAnsi="Arial" w:cs="Arial"/>
          <w:sz w:val="22"/>
          <w:szCs w:val="22"/>
          <w:lang w:val="en-GB"/>
        </w:rPr>
        <w:t>.</w:t>
      </w:r>
      <w:r w:rsidR="00337ACC">
        <w:rPr>
          <w:rFonts w:ascii="Arial" w:hAnsi="Arial" w:cs="Arial"/>
          <w:sz w:val="22"/>
          <w:szCs w:val="22"/>
          <w:lang w:val="en-GB"/>
        </w:rPr>
        <w:t xml:space="preserve">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L</w:t>
      </w:r>
      <w:r w:rsidR="00337ACC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ong-term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emulsion </w:t>
      </w:r>
      <w:r w:rsidR="00337ACC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stability,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which is crucial for</w:t>
      </w:r>
      <w:r w:rsidR="00337ACC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the quality of a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GA </w:t>
      </w:r>
      <w:r w:rsidR="00337ACC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batch,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is mostly</w:t>
      </w:r>
      <w:r w:rsidR="00337ACC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determined through an acceleration test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, </w:t>
      </w:r>
      <w:r w:rsidR="00337ACC" w:rsidRPr="00102E71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in which the change in droplet size distribution of a GA emulsion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,</w:t>
      </w:r>
      <w:r w:rsidR="00337ACC" w:rsidRPr="00102E71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after heating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the emulsion </w:t>
      </w:r>
      <w:r w:rsidR="00337ACC" w:rsidRPr="00102E71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over the course of a week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,</w:t>
      </w:r>
      <w:r w:rsidR="00337ACC" w:rsidRPr="00102E71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is observed and evaluated</w:t>
      </w:r>
      <w:r w:rsidR="00337ACC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.</w:t>
      </w:r>
      <w:r w:rsidR="008B3899" w:rsidRPr="00441653">
        <w:rPr>
          <w:rFonts w:ascii="Arial" w:eastAsia="SimSun" w:hAnsi="Arial" w:cs="Arial"/>
          <w:color w:val="auto"/>
          <w:sz w:val="22"/>
          <w:szCs w:val="22"/>
          <w:vertAlign w:val="superscript"/>
          <w:lang w:val="en-GB" w:eastAsia="zh-CN"/>
        </w:rPr>
        <w:t>1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Previous studies on individual GA samples </w:t>
      </w:r>
      <w:r w:rsidR="00295A0A">
        <w:rPr>
          <w:rFonts w:ascii="Arial" w:hAnsi="Arial" w:cs="Arial"/>
          <w:sz w:val="22"/>
          <w:szCs w:val="22"/>
          <w:lang w:val="en-GB"/>
        </w:rPr>
        <w:t xml:space="preserve">have 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postulated that </w:t>
      </w:r>
      <w:r w:rsidR="00337ACC">
        <w:rPr>
          <w:rFonts w:ascii="Arial" w:hAnsi="Arial" w:cs="Arial"/>
          <w:sz w:val="22"/>
          <w:szCs w:val="22"/>
          <w:lang w:val="en-GB"/>
        </w:rPr>
        <w:t xml:space="preserve">certain </w:t>
      </w:r>
      <w:r w:rsidR="00A41BA0">
        <w:rPr>
          <w:rFonts w:ascii="Arial" w:hAnsi="Arial" w:cs="Arial"/>
          <w:sz w:val="22"/>
          <w:szCs w:val="22"/>
          <w:lang w:val="en-GB"/>
        </w:rPr>
        <w:t xml:space="preserve">GA </w:t>
      </w:r>
      <w:r w:rsidRPr="00927D57">
        <w:rPr>
          <w:rFonts w:ascii="Arial" w:hAnsi="Arial" w:cs="Arial"/>
          <w:sz w:val="22"/>
          <w:szCs w:val="22"/>
          <w:lang w:val="en-GB"/>
        </w:rPr>
        <w:t>glycoprotein</w:t>
      </w:r>
      <w:r w:rsidR="00337ACC">
        <w:rPr>
          <w:rFonts w:ascii="Arial" w:hAnsi="Arial" w:cs="Arial"/>
          <w:sz w:val="22"/>
          <w:szCs w:val="22"/>
          <w:lang w:val="en-GB"/>
        </w:rPr>
        <w:t xml:space="preserve"> fraction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s, </w:t>
      </w:r>
      <w:r w:rsidR="008B4C35">
        <w:rPr>
          <w:rFonts w:ascii="Arial" w:hAnsi="Arial" w:cs="Arial"/>
          <w:sz w:val="22"/>
          <w:szCs w:val="22"/>
          <w:lang w:val="en-GB"/>
        </w:rPr>
        <w:t>especially</w:t>
      </w:r>
      <w:r w:rsidR="0045271B">
        <w:rPr>
          <w:rFonts w:ascii="Arial" w:hAnsi="Arial" w:cs="Arial"/>
          <w:sz w:val="22"/>
          <w:szCs w:val="22"/>
          <w:lang w:val="en-GB"/>
        </w:rPr>
        <w:t xml:space="preserve"> those characterized by 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a high protein content and significant spatial </w:t>
      </w:r>
      <w:r w:rsidR="00777499">
        <w:rPr>
          <w:rFonts w:ascii="Arial" w:hAnsi="Arial" w:cs="Arial"/>
          <w:sz w:val="22"/>
          <w:szCs w:val="22"/>
          <w:lang w:val="en-GB"/>
        </w:rPr>
        <w:t>expansion</w:t>
      </w:r>
      <w:r w:rsidRPr="00927D57">
        <w:rPr>
          <w:rFonts w:ascii="Arial" w:hAnsi="Arial" w:cs="Arial"/>
          <w:sz w:val="22"/>
          <w:szCs w:val="22"/>
          <w:lang w:val="en-GB"/>
        </w:rPr>
        <w:t>, are crucial for initial emulsion stability.</w:t>
      </w:r>
      <w:r w:rsidR="00872F43" w:rsidRPr="00441653">
        <w:rPr>
          <w:rFonts w:ascii="Arial" w:hAnsi="Arial" w:cs="Arial"/>
          <w:sz w:val="22"/>
          <w:szCs w:val="22"/>
          <w:vertAlign w:val="superscript"/>
          <w:lang w:val="en-GB"/>
        </w:rPr>
        <w:t>2,3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 </w:t>
      </w:r>
      <w:r w:rsidR="007768E7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H</w:t>
      </w:r>
      <w:r w:rsidR="00C819C5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owever</w:t>
      </w:r>
      <w:r w:rsidR="007768E7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, </w:t>
      </w:r>
      <w:r w:rsidR="00C819C5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quality markers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for unfractionated GA </w:t>
      </w:r>
      <w:r w:rsidR="00C819C5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and </w:t>
      </w:r>
      <w:r w:rsidR="007768E7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correlation</w:t>
      </w:r>
      <w:r w:rsidR="00A21ABB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s</w:t>
      </w:r>
      <w:r w:rsidR="00C34963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with structural </w:t>
      </w:r>
      <w:r w:rsidR="00232F0D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parameters</w:t>
      </w:r>
      <w:r w:rsidR="007768E7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1C692F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have </w:t>
      </w:r>
      <w:r w:rsidR="00774166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>not</w:t>
      </w:r>
      <w:r w:rsidR="001C692F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been</w:t>
      </w:r>
      <w:r w:rsidR="00774166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 </w:t>
      </w:r>
      <w:r w:rsidR="007768E7" w:rsidRPr="007768E7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established. </w:t>
      </w:r>
      <w:r w:rsidR="00337ACC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Therefore, </w:t>
      </w:r>
      <w:r w:rsidR="00A4385D">
        <w:rPr>
          <w:rFonts w:ascii="Arial" w:eastAsia="SimSun" w:hAnsi="Arial" w:cs="Arial"/>
          <w:color w:val="auto"/>
          <w:sz w:val="22"/>
          <w:szCs w:val="22"/>
          <w:lang w:val="en-GB" w:eastAsia="zh-CN"/>
        </w:rPr>
        <w:t xml:space="preserve">our aim was to </w:t>
      </w:r>
      <w:r w:rsidR="00A4385D">
        <w:rPr>
          <w:rFonts w:ascii="Arial" w:hAnsi="Arial" w:cs="Arial"/>
          <w:sz w:val="22"/>
          <w:szCs w:val="22"/>
          <w:lang w:val="en-GB"/>
        </w:rPr>
        <w:t xml:space="preserve">investigate </w:t>
      </w:r>
      <w:r w:rsidRPr="00927D57">
        <w:rPr>
          <w:rFonts w:ascii="Arial" w:hAnsi="Arial" w:cs="Arial"/>
          <w:sz w:val="22"/>
          <w:szCs w:val="22"/>
          <w:lang w:val="en-GB"/>
        </w:rPr>
        <w:t>the structural properties and techno-functional characteristics of 20 GA samples of</w:t>
      </w:r>
      <w:r w:rsidR="002F2647">
        <w:rPr>
          <w:rFonts w:ascii="Arial" w:hAnsi="Arial" w:cs="Arial"/>
          <w:sz w:val="22"/>
          <w:szCs w:val="22"/>
          <w:lang w:val="en-GB"/>
        </w:rPr>
        <w:t xml:space="preserve"> </w:t>
      </w:r>
      <w:r w:rsidRPr="00927D57">
        <w:rPr>
          <w:rFonts w:ascii="Arial" w:hAnsi="Arial" w:cs="Arial"/>
          <w:sz w:val="22"/>
          <w:szCs w:val="22"/>
          <w:lang w:val="en-GB"/>
        </w:rPr>
        <w:t>varying quality</w:t>
      </w:r>
      <w:r w:rsidR="00A4385D">
        <w:rPr>
          <w:rFonts w:ascii="Arial" w:hAnsi="Arial" w:cs="Arial"/>
          <w:sz w:val="22"/>
          <w:szCs w:val="22"/>
          <w:lang w:val="en-GB"/>
        </w:rPr>
        <w:t xml:space="preserve"> in </w:t>
      </w:r>
      <w:r w:rsidR="00EE06B0">
        <w:rPr>
          <w:rFonts w:ascii="Arial" w:hAnsi="Arial" w:cs="Arial"/>
          <w:sz w:val="22"/>
          <w:szCs w:val="22"/>
          <w:lang w:val="en-GB"/>
        </w:rPr>
        <w:t>detail</w:t>
      </w:r>
      <w:r w:rsidR="00EE06B0" w:rsidRPr="00927D57">
        <w:rPr>
          <w:rFonts w:ascii="Arial" w:hAnsi="Arial" w:cs="Arial"/>
          <w:sz w:val="22"/>
          <w:szCs w:val="22"/>
          <w:lang w:val="en-GB"/>
        </w:rPr>
        <w:t xml:space="preserve"> to</w:t>
      </w:r>
      <w:r w:rsidRPr="00927D57">
        <w:rPr>
          <w:rFonts w:ascii="Arial" w:hAnsi="Arial" w:cs="Arial"/>
          <w:sz w:val="22"/>
          <w:szCs w:val="22"/>
          <w:lang w:val="en-GB"/>
        </w:rPr>
        <w:t xml:space="preserve"> </w:t>
      </w:r>
      <w:r w:rsidR="009F28DA">
        <w:rPr>
          <w:rFonts w:ascii="Arial" w:hAnsi="Arial" w:cs="Arial"/>
          <w:sz w:val="22"/>
          <w:szCs w:val="22"/>
          <w:lang w:val="en-GB"/>
        </w:rPr>
        <w:t>cl</w:t>
      </w:r>
      <w:r w:rsidR="004D36BC">
        <w:rPr>
          <w:rFonts w:ascii="Arial" w:hAnsi="Arial" w:cs="Arial"/>
          <w:sz w:val="22"/>
          <w:szCs w:val="22"/>
          <w:lang w:val="en-GB"/>
        </w:rPr>
        <w:t>a</w:t>
      </w:r>
      <w:r w:rsidR="009F28DA">
        <w:rPr>
          <w:rFonts w:ascii="Arial" w:hAnsi="Arial" w:cs="Arial"/>
          <w:sz w:val="22"/>
          <w:szCs w:val="22"/>
          <w:lang w:val="en-GB"/>
        </w:rPr>
        <w:t xml:space="preserve">rify the </w:t>
      </w:r>
      <w:r w:rsidR="004D36BC">
        <w:rPr>
          <w:rFonts w:ascii="Arial" w:hAnsi="Arial" w:cs="Arial"/>
          <w:sz w:val="22"/>
          <w:szCs w:val="22"/>
          <w:lang w:val="en-GB"/>
        </w:rPr>
        <w:t>interrelation</w:t>
      </w:r>
      <w:r w:rsidRPr="00927D57">
        <w:rPr>
          <w:rFonts w:ascii="Arial" w:hAnsi="Arial" w:cs="Arial"/>
          <w:sz w:val="22"/>
          <w:szCs w:val="22"/>
          <w:lang w:val="en-GB"/>
        </w:rPr>
        <w:t>.</w:t>
      </w:r>
      <w:r w:rsidR="00432951">
        <w:rPr>
          <w:rFonts w:ascii="Arial" w:hAnsi="Arial" w:cs="Arial"/>
          <w:sz w:val="22"/>
          <w:szCs w:val="22"/>
          <w:lang w:val="en-GB"/>
        </w:rPr>
        <w:t xml:space="preserve"> </w:t>
      </w:r>
      <w:r w:rsidR="00432951" w:rsidRPr="00432951">
        <w:rPr>
          <w:rFonts w:ascii="Arial" w:hAnsi="Arial" w:cs="Arial"/>
          <w:sz w:val="22"/>
          <w:szCs w:val="22"/>
          <w:lang w:val="en-GB"/>
        </w:rPr>
        <w:t>To obtain valid results, analytical methods such as the protocol for monosaccharide analysis were refined.</w:t>
      </w:r>
      <w:r w:rsidR="00432951">
        <w:rPr>
          <w:rFonts w:ascii="Arial" w:hAnsi="Arial" w:cs="Arial"/>
          <w:sz w:val="22"/>
          <w:szCs w:val="22"/>
          <w:lang w:val="en-GB"/>
        </w:rPr>
        <w:t xml:space="preserve"> Furthermore, new approaches were developed which provide rapid and detailed insights into the molecular properties of GA.</w:t>
      </w:r>
    </w:p>
    <w:p w14:paraId="783574B6" w14:textId="668ECCCA" w:rsidR="00AE79DD" w:rsidRDefault="005057B2">
      <w:pPr>
        <w:pStyle w:val="Textkrper"/>
        <w:jc w:val="both"/>
        <w:rPr>
          <w:sz w:val="22"/>
          <w:szCs w:val="22"/>
          <w:lang w:val="en-GB"/>
        </w:rPr>
      </w:pPr>
      <w:r w:rsidRPr="005057B2">
        <w:rPr>
          <w:sz w:val="22"/>
          <w:szCs w:val="22"/>
          <w:lang w:val="en-GB"/>
        </w:rPr>
        <w:t xml:space="preserve">The gum samples were </w:t>
      </w:r>
      <w:r w:rsidR="00432951">
        <w:rPr>
          <w:sz w:val="22"/>
          <w:szCs w:val="22"/>
          <w:lang w:val="en-GB"/>
        </w:rPr>
        <w:t xml:space="preserve">first </w:t>
      </w:r>
      <w:proofErr w:type="spellStart"/>
      <w:r w:rsidRPr="005057B2">
        <w:rPr>
          <w:sz w:val="22"/>
          <w:szCs w:val="22"/>
          <w:lang w:val="en-GB"/>
        </w:rPr>
        <w:t>analyzed</w:t>
      </w:r>
      <w:proofErr w:type="spellEnd"/>
      <w:r w:rsidRPr="005057B2">
        <w:rPr>
          <w:sz w:val="22"/>
          <w:szCs w:val="22"/>
          <w:lang w:val="en-GB"/>
        </w:rPr>
        <w:t xml:space="preserve"> for their</w:t>
      </w:r>
      <w:r w:rsidR="007D58F3">
        <w:rPr>
          <w:sz w:val="22"/>
          <w:szCs w:val="22"/>
          <w:lang w:val="en-GB"/>
        </w:rPr>
        <w:t xml:space="preserve"> </w:t>
      </w:r>
      <w:r w:rsidRPr="005057B2">
        <w:rPr>
          <w:sz w:val="22"/>
          <w:szCs w:val="22"/>
          <w:lang w:val="en-GB"/>
        </w:rPr>
        <w:t>monosaccharide composition, protein content, molecular weight, and molecular weight</w:t>
      </w:r>
      <w:r w:rsidR="007D58F3">
        <w:rPr>
          <w:sz w:val="22"/>
          <w:szCs w:val="22"/>
          <w:lang w:val="en-GB"/>
        </w:rPr>
        <w:t xml:space="preserve"> </w:t>
      </w:r>
      <w:r w:rsidRPr="005057B2">
        <w:rPr>
          <w:sz w:val="22"/>
          <w:szCs w:val="22"/>
          <w:lang w:val="en-GB"/>
        </w:rPr>
        <w:t>distribution. O/W emulsions with</w:t>
      </w:r>
      <w:r w:rsidR="007D58F3">
        <w:rPr>
          <w:sz w:val="22"/>
          <w:szCs w:val="22"/>
          <w:lang w:val="en-GB"/>
        </w:rPr>
        <w:t xml:space="preserve"> </w:t>
      </w:r>
      <w:r w:rsidRPr="005057B2">
        <w:rPr>
          <w:sz w:val="22"/>
          <w:szCs w:val="22"/>
          <w:lang w:val="en-GB"/>
        </w:rPr>
        <w:t>weighted orange oil were prepared from all samples</w:t>
      </w:r>
      <w:r w:rsidR="006E5329">
        <w:rPr>
          <w:sz w:val="22"/>
          <w:szCs w:val="22"/>
          <w:lang w:val="en-GB"/>
        </w:rPr>
        <w:t xml:space="preserve">, </w:t>
      </w:r>
      <w:r w:rsidRPr="005057B2">
        <w:rPr>
          <w:sz w:val="22"/>
          <w:szCs w:val="22"/>
          <w:lang w:val="en-GB"/>
        </w:rPr>
        <w:t>and their initial droplet size distribution</w:t>
      </w:r>
      <w:r w:rsidR="007D58F3">
        <w:rPr>
          <w:sz w:val="22"/>
          <w:szCs w:val="22"/>
          <w:lang w:val="en-GB"/>
        </w:rPr>
        <w:t xml:space="preserve"> </w:t>
      </w:r>
      <w:r w:rsidRPr="005057B2">
        <w:rPr>
          <w:sz w:val="22"/>
          <w:szCs w:val="22"/>
          <w:lang w:val="en-GB"/>
        </w:rPr>
        <w:t>and viscosity were determined. By using Pearson correlation tests, we demonstrate</w:t>
      </w:r>
      <w:r w:rsidR="006E5329">
        <w:rPr>
          <w:sz w:val="22"/>
          <w:szCs w:val="22"/>
          <w:lang w:val="en-GB"/>
        </w:rPr>
        <w:t>d</w:t>
      </w:r>
      <w:r w:rsidRPr="005057B2">
        <w:rPr>
          <w:sz w:val="22"/>
          <w:szCs w:val="22"/>
          <w:lang w:val="en-GB"/>
        </w:rPr>
        <w:t xml:space="preserve"> that rhamnose content and the rhamnose/galactose ratio positively </w:t>
      </w:r>
      <w:r w:rsidR="002910D6" w:rsidRPr="005057B2">
        <w:rPr>
          <w:sz w:val="22"/>
          <w:szCs w:val="22"/>
          <w:lang w:val="en-GB"/>
        </w:rPr>
        <w:t>correlat</w:t>
      </w:r>
      <w:r w:rsidR="002910D6">
        <w:rPr>
          <w:sz w:val="22"/>
          <w:szCs w:val="22"/>
          <w:lang w:val="en-GB"/>
        </w:rPr>
        <w:t>e</w:t>
      </w:r>
      <w:r w:rsidRPr="005057B2">
        <w:rPr>
          <w:sz w:val="22"/>
          <w:szCs w:val="22"/>
          <w:lang w:val="en-GB"/>
        </w:rPr>
        <w:t xml:space="preserve"> with</w:t>
      </w:r>
      <w:r w:rsidR="008024D7">
        <w:rPr>
          <w:sz w:val="22"/>
          <w:szCs w:val="22"/>
          <w:lang w:val="en-GB"/>
        </w:rPr>
        <w:t xml:space="preserve"> </w:t>
      </w:r>
      <w:r w:rsidRPr="005057B2">
        <w:rPr>
          <w:sz w:val="22"/>
          <w:szCs w:val="22"/>
          <w:lang w:val="en-GB"/>
        </w:rPr>
        <w:t xml:space="preserve">molecular mass. The molecular </w:t>
      </w:r>
      <w:r w:rsidR="0008472D">
        <w:rPr>
          <w:sz w:val="22"/>
          <w:szCs w:val="22"/>
          <w:lang w:val="en-GB"/>
        </w:rPr>
        <w:t>mass</w:t>
      </w:r>
      <w:r w:rsidRPr="005057B2">
        <w:rPr>
          <w:sz w:val="22"/>
          <w:szCs w:val="22"/>
          <w:lang w:val="en-GB"/>
        </w:rPr>
        <w:t xml:space="preserve"> itself correlated with the viscosity of the</w:t>
      </w:r>
      <w:r w:rsidR="008024D7">
        <w:rPr>
          <w:sz w:val="22"/>
          <w:szCs w:val="22"/>
          <w:lang w:val="en-GB"/>
        </w:rPr>
        <w:t xml:space="preserve"> </w:t>
      </w:r>
      <w:r w:rsidRPr="005057B2">
        <w:rPr>
          <w:sz w:val="22"/>
          <w:szCs w:val="22"/>
          <w:lang w:val="en-GB"/>
        </w:rPr>
        <w:t xml:space="preserve">emulsion, while the protein content </w:t>
      </w:r>
      <w:r w:rsidR="00F04428">
        <w:rPr>
          <w:sz w:val="22"/>
          <w:szCs w:val="22"/>
          <w:lang w:val="en-GB"/>
        </w:rPr>
        <w:t xml:space="preserve">negatively </w:t>
      </w:r>
      <w:r w:rsidRPr="005057B2">
        <w:rPr>
          <w:sz w:val="22"/>
          <w:szCs w:val="22"/>
          <w:lang w:val="en-GB"/>
        </w:rPr>
        <w:t>correlated with the droplet size distribution.</w:t>
      </w:r>
      <w:r w:rsidR="00740EF7">
        <w:rPr>
          <w:sz w:val="22"/>
          <w:szCs w:val="22"/>
          <w:lang w:val="en-GB"/>
        </w:rPr>
        <w:t xml:space="preserve"> </w:t>
      </w:r>
      <w:r w:rsidR="00B029DE">
        <w:rPr>
          <w:sz w:val="22"/>
          <w:szCs w:val="22"/>
          <w:lang w:val="en-GB"/>
        </w:rPr>
        <w:t>Especially</w:t>
      </w:r>
      <w:r w:rsidR="00AA0EE6">
        <w:rPr>
          <w:sz w:val="22"/>
          <w:szCs w:val="22"/>
          <w:lang w:val="en-GB"/>
        </w:rPr>
        <w:t xml:space="preserve"> the molecular mass/viscosity ratio </w:t>
      </w:r>
      <w:r w:rsidR="00792B2D">
        <w:rPr>
          <w:sz w:val="22"/>
          <w:szCs w:val="22"/>
          <w:lang w:val="en-GB"/>
        </w:rPr>
        <w:t>appeared</w:t>
      </w:r>
      <w:r w:rsidR="005715FB">
        <w:rPr>
          <w:sz w:val="22"/>
          <w:szCs w:val="22"/>
          <w:lang w:val="en-GB"/>
        </w:rPr>
        <w:t xml:space="preserve"> to have </w:t>
      </w:r>
      <w:r w:rsidR="001B3B86">
        <w:rPr>
          <w:sz w:val="22"/>
          <w:szCs w:val="22"/>
          <w:lang w:val="en-GB"/>
        </w:rPr>
        <w:t xml:space="preserve">a subtle </w:t>
      </w:r>
      <w:r w:rsidR="005715FB">
        <w:rPr>
          <w:sz w:val="22"/>
          <w:szCs w:val="22"/>
          <w:lang w:val="en-GB"/>
        </w:rPr>
        <w:t>impact on batch quality</w:t>
      </w:r>
      <w:r w:rsidR="001B3B86">
        <w:rPr>
          <w:sz w:val="22"/>
          <w:szCs w:val="22"/>
          <w:lang w:val="en-GB"/>
        </w:rPr>
        <w:t>.</w:t>
      </w:r>
      <w:r w:rsidR="00090576">
        <w:rPr>
          <w:sz w:val="22"/>
          <w:szCs w:val="22"/>
          <w:lang w:val="en-GB"/>
        </w:rPr>
        <w:t xml:space="preserve"> </w:t>
      </w:r>
      <w:r w:rsidR="00D3457D">
        <w:rPr>
          <w:sz w:val="22"/>
          <w:szCs w:val="22"/>
          <w:lang w:val="en-GB"/>
        </w:rPr>
        <w:t xml:space="preserve">To </w:t>
      </w:r>
      <w:r w:rsidR="00F267DD">
        <w:rPr>
          <w:sz w:val="22"/>
          <w:szCs w:val="22"/>
          <w:lang w:val="en-GB"/>
        </w:rPr>
        <w:t xml:space="preserve">gain a deeper understanding </w:t>
      </w:r>
      <w:r w:rsidR="0035118B">
        <w:rPr>
          <w:sz w:val="22"/>
          <w:szCs w:val="22"/>
          <w:lang w:val="en-GB"/>
        </w:rPr>
        <w:t xml:space="preserve">of the relation between </w:t>
      </w:r>
      <w:r w:rsidRPr="005057B2">
        <w:rPr>
          <w:sz w:val="22"/>
          <w:szCs w:val="22"/>
          <w:lang w:val="en-GB"/>
        </w:rPr>
        <w:t>quality</w:t>
      </w:r>
      <w:r w:rsidR="0035118B">
        <w:rPr>
          <w:sz w:val="22"/>
          <w:szCs w:val="22"/>
          <w:lang w:val="en-GB"/>
        </w:rPr>
        <w:t xml:space="preserve"> </w:t>
      </w:r>
      <w:r w:rsidR="00D3457D">
        <w:rPr>
          <w:sz w:val="22"/>
          <w:szCs w:val="22"/>
          <w:lang w:val="en-GB"/>
        </w:rPr>
        <w:t>(</w:t>
      </w:r>
      <w:r w:rsidR="0035118B">
        <w:rPr>
          <w:sz w:val="22"/>
          <w:szCs w:val="22"/>
          <w:lang w:val="en-GB"/>
        </w:rPr>
        <w:t>i.e.</w:t>
      </w:r>
      <w:r w:rsidRPr="005057B2">
        <w:rPr>
          <w:sz w:val="22"/>
          <w:szCs w:val="22"/>
          <w:lang w:val="en-GB"/>
        </w:rPr>
        <w:t xml:space="preserve"> long-term </w:t>
      </w:r>
      <w:r w:rsidR="0035118B">
        <w:rPr>
          <w:sz w:val="22"/>
          <w:szCs w:val="22"/>
          <w:lang w:val="en-GB"/>
        </w:rPr>
        <w:t xml:space="preserve">emulsion </w:t>
      </w:r>
      <w:r w:rsidRPr="005057B2">
        <w:rPr>
          <w:sz w:val="22"/>
          <w:szCs w:val="22"/>
          <w:lang w:val="en-GB"/>
        </w:rPr>
        <w:t>stability</w:t>
      </w:r>
      <w:r w:rsidR="000F2BBE">
        <w:rPr>
          <w:sz w:val="22"/>
          <w:szCs w:val="22"/>
          <w:lang w:val="en-GB"/>
        </w:rPr>
        <w:t>)</w:t>
      </w:r>
      <w:r w:rsidR="00090576">
        <w:rPr>
          <w:sz w:val="22"/>
          <w:szCs w:val="22"/>
          <w:lang w:val="en-GB"/>
        </w:rPr>
        <w:t xml:space="preserve"> and molecular </w:t>
      </w:r>
      <w:bookmarkStart w:id="0" w:name="_Int_bkTpoIVm"/>
      <w:r w:rsidR="00090576">
        <w:rPr>
          <w:sz w:val="22"/>
          <w:szCs w:val="22"/>
          <w:lang w:val="en-GB"/>
        </w:rPr>
        <w:t>structure</w:t>
      </w:r>
      <w:r w:rsidR="0035118B">
        <w:rPr>
          <w:sz w:val="22"/>
          <w:szCs w:val="22"/>
          <w:lang w:val="en-GB"/>
        </w:rPr>
        <w:t xml:space="preserve">, </w:t>
      </w:r>
      <w:bookmarkEnd w:id="0"/>
      <w:r w:rsidR="00090576">
        <w:rPr>
          <w:sz w:val="22"/>
          <w:szCs w:val="22"/>
          <w:lang w:val="en-GB"/>
        </w:rPr>
        <w:t xml:space="preserve">selected </w:t>
      </w:r>
      <w:r w:rsidR="00623E0C">
        <w:rPr>
          <w:sz w:val="22"/>
          <w:szCs w:val="22"/>
          <w:lang w:val="en-GB"/>
        </w:rPr>
        <w:t xml:space="preserve">GA </w:t>
      </w:r>
      <w:r w:rsidR="00E55937">
        <w:rPr>
          <w:sz w:val="22"/>
          <w:szCs w:val="22"/>
          <w:lang w:val="en-GB"/>
        </w:rPr>
        <w:t xml:space="preserve">samples were </w:t>
      </w:r>
      <w:r w:rsidR="00090576">
        <w:rPr>
          <w:sz w:val="22"/>
          <w:szCs w:val="22"/>
          <w:lang w:val="en-GB"/>
        </w:rPr>
        <w:t xml:space="preserve">fractionated by </w:t>
      </w:r>
      <w:r w:rsidR="003D000C">
        <w:rPr>
          <w:sz w:val="22"/>
          <w:szCs w:val="22"/>
          <w:lang w:val="en-GB"/>
        </w:rPr>
        <w:t xml:space="preserve">using hydrophobic interaction chromatography </w:t>
      </w:r>
      <w:r w:rsidR="00A73465">
        <w:rPr>
          <w:sz w:val="22"/>
          <w:szCs w:val="22"/>
          <w:lang w:val="en-GB"/>
        </w:rPr>
        <w:t>according to thei</w:t>
      </w:r>
      <w:r w:rsidR="000A5F5C">
        <w:rPr>
          <w:sz w:val="22"/>
          <w:szCs w:val="22"/>
          <w:lang w:val="en-GB"/>
        </w:rPr>
        <w:t>r</w:t>
      </w:r>
      <w:r w:rsidR="00A73465">
        <w:rPr>
          <w:sz w:val="22"/>
          <w:szCs w:val="22"/>
          <w:lang w:val="en-GB"/>
        </w:rPr>
        <w:t xml:space="preserve"> protein content</w:t>
      </w:r>
      <w:r w:rsidR="00E55937">
        <w:rPr>
          <w:sz w:val="22"/>
          <w:szCs w:val="22"/>
          <w:lang w:val="en-GB"/>
        </w:rPr>
        <w:t xml:space="preserve"> </w:t>
      </w:r>
      <w:r w:rsidR="00A25983">
        <w:rPr>
          <w:sz w:val="22"/>
          <w:szCs w:val="22"/>
          <w:lang w:val="en-GB"/>
        </w:rPr>
        <w:t>in</w:t>
      </w:r>
      <w:r w:rsidR="00CB0BE4">
        <w:rPr>
          <w:sz w:val="22"/>
          <w:szCs w:val="22"/>
          <w:lang w:val="en-GB"/>
        </w:rPr>
        <w:t xml:space="preserve"> </w:t>
      </w:r>
      <w:r w:rsidR="00A25983">
        <w:rPr>
          <w:sz w:val="22"/>
          <w:szCs w:val="22"/>
          <w:lang w:val="en-GB"/>
        </w:rPr>
        <w:t>different glycoprotein</w:t>
      </w:r>
      <w:r w:rsidR="001B40F1">
        <w:rPr>
          <w:sz w:val="22"/>
          <w:szCs w:val="22"/>
          <w:lang w:val="en-GB"/>
        </w:rPr>
        <w:t xml:space="preserve"> fractions</w:t>
      </w:r>
      <w:r w:rsidR="001A47AD">
        <w:rPr>
          <w:sz w:val="22"/>
          <w:szCs w:val="22"/>
          <w:lang w:val="en-GB"/>
        </w:rPr>
        <w:t>, known as arabinogalactan (AG), arabinogalactan-protein (AGP) and glycoprotein (GP)</w:t>
      </w:r>
      <w:r w:rsidR="00FD6293">
        <w:rPr>
          <w:sz w:val="22"/>
          <w:szCs w:val="22"/>
          <w:lang w:val="en-GB"/>
        </w:rPr>
        <w:t>.</w:t>
      </w:r>
      <w:r w:rsidR="00140067">
        <w:rPr>
          <w:sz w:val="22"/>
          <w:szCs w:val="22"/>
          <w:lang w:val="en-GB"/>
        </w:rPr>
        <w:t xml:space="preserve"> </w:t>
      </w:r>
      <w:r w:rsidR="00EE00B1">
        <w:rPr>
          <w:sz w:val="22"/>
          <w:szCs w:val="22"/>
          <w:lang w:val="en-GB"/>
        </w:rPr>
        <w:t xml:space="preserve">The fractions were </w:t>
      </w:r>
      <w:proofErr w:type="spellStart"/>
      <w:r w:rsidR="002C70EF">
        <w:rPr>
          <w:sz w:val="22"/>
          <w:szCs w:val="22"/>
          <w:lang w:val="en-GB"/>
        </w:rPr>
        <w:t>analyzed</w:t>
      </w:r>
      <w:proofErr w:type="spellEnd"/>
      <w:r w:rsidR="00E07D80">
        <w:rPr>
          <w:sz w:val="22"/>
          <w:szCs w:val="22"/>
          <w:lang w:val="en-GB"/>
        </w:rPr>
        <w:t xml:space="preserve"> </w:t>
      </w:r>
      <w:r w:rsidR="000F2BBE">
        <w:rPr>
          <w:sz w:val="22"/>
          <w:szCs w:val="22"/>
          <w:lang w:val="en-GB"/>
        </w:rPr>
        <w:t>sim</w:t>
      </w:r>
      <w:r w:rsidR="0088420A">
        <w:rPr>
          <w:sz w:val="22"/>
          <w:szCs w:val="22"/>
          <w:lang w:val="en-GB"/>
        </w:rPr>
        <w:t xml:space="preserve">ilarly </w:t>
      </w:r>
      <w:r w:rsidR="007A2F69">
        <w:rPr>
          <w:sz w:val="22"/>
          <w:szCs w:val="22"/>
          <w:lang w:val="en-GB"/>
        </w:rPr>
        <w:t>to</w:t>
      </w:r>
      <w:r w:rsidR="0088420A">
        <w:rPr>
          <w:sz w:val="22"/>
          <w:szCs w:val="22"/>
          <w:lang w:val="en-GB"/>
        </w:rPr>
        <w:t xml:space="preserve"> the</w:t>
      </w:r>
      <w:r w:rsidR="007A2F69">
        <w:rPr>
          <w:sz w:val="22"/>
          <w:szCs w:val="22"/>
          <w:lang w:val="en-GB"/>
        </w:rPr>
        <w:t xml:space="preserve"> </w:t>
      </w:r>
      <w:r w:rsidR="00E07D80">
        <w:rPr>
          <w:sz w:val="22"/>
          <w:szCs w:val="22"/>
          <w:lang w:val="en-GB"/>
        </w:rPr>
        <w:t>native samples</w:t>
      </w:r>
      <w:r w:rsidR="007A2F69">
        <w:rPr>
          <w:sz w:val="22"/>
          <w:szCs w:val="22"/>
          <w:lang w:val="en-GB"/>
        </w:rPr>
        <w:t xml:space="preserve"> and also</w:t>
      </w:r>
      <w:r w:rsidR="00090576">
        <w:rPr>
          <w:sz w:val="22"/>
          <w:szCs w:val="22"/>
          <w:lang w:val="en-GB"/>
        </w:rPr>
        <w:t xml:space="preserve"> further characterized after partial</w:t>
      </w:r>
      <w:r w:rsidR="00417E97">
        <w:rPr>
          <w:sz w:val="22"/>
          <w:szCs w:val="22"/>
          <w:lang w:val="en-GB"/>
        </w:rPr>
        <w:t xml:space="preserve"> </w:t>
      </w:r>
      <w:r w:rsidR="00147601">
        <w:rPr>
          <w:sz w:val="22"/>
          <w:szCs w:val="22"/>
          <w:lang w:val="en-GB"/>
        </w:rPr>
        <w:t xml:space="preserve">enzymatic </w:t>
      </w:r>
      <w:r w:rsidR="00D019C3">
        <w:rPr>
          <w:sz w:val="22"/>
          <w:szCs w:val="22"/>
          <w:lang w:val="en-GB"/>
        </w:rPr>
        <w:t xml:space="preserve">and </w:t>
      </w:r>
      <w:r w:rsidR="00C61629">
        <w:rPr>
          <w:sz w:val="22"/>
          <w:szCs w:val="22"/>
          <w:lang w:val="en-GB"/>
        </w:rPr>
        <w:t>chemical</w:t>
      </w:r>
      <w:r w:rsidR="00D019C3">
        <w:rPr>
          <w:sz w:val="22"/>
          <w:szCs w:val="22"/>
          <w:lang w:val="en-GB"/>
        </w:rPr>
        <w:t xml:space="preserve"> hydrolysis</w:t>
      </w:r>
      <w:r w:rsidR="00D91754">
        <w:rPr>
          <w:sz w:val="22"/>
          <w:szCs w:val="22"/>
          <w:lang w:val="en-GB"/>
        </w:rPr>
        <w:t>.</w:t>
      </w:r>
      <w:r w:rsidR="00053293">
        <w:rPr>
          <w:sz w:val="22"/>
          <w:szCs w:val="22"/>
          <w:lang w:val="en-GB"/>
        </w:rPr>
        <w:t xml:space="preserve"> </w:t>
      </w:r>
      <w:r w:rsidR="00090576">
        <w:rPr>
          <w:sz w:val="22"/>
          <w:szCs w:val="22"/>
          <w:lang w:val="en-GB"/>
        </w:rPr>
        <w:t>This enabled detailed</w:t>
      </w:r>
      <w:r w:rsidR="00826F3B">
        <w:rPr>
          <w:sz w:val="22"/>
          <w:szCs w:val="22"/>
          <w:lang w:val="en-GB"/>
        </w:rPr>
        <w:t xml:space="preserve"> </w:t>
      </w:r>
      <w:r w:rsidR="00E50103">
        <w:rPr>
          <w:sz w:val="22"/>
          <w:szCs w:val="22"/>
          <w:lang w:val="en-GB"/>
        </w:rPr>
        <w:t>insights</w:t>
      </w:r>
      <w:r w:rsidR="00826F3B">
        <w:rPr>
          <w:sz w:val="22"/>
          <w:szCs w:val="22"/>
          <w:lang w:val="en-GB"/>
        </w:rPr>
        <w:t xml:space="preserve"> in</w:t>
      </w:r>
      <w:r w:rsidR="001E0BDC">
        <w:rPr>
          <w:sz w:val="22"/>
          <w:szCs w:val="22"/>
          <w:lang w:val="en-GB"/>
        </w:rPr>
        <w:t>to</w:t>
      </w:r>
      <w:r w:rsidR="00826F3B">
        <w:rPr>
          <w:sz w:val="22"/>
          <w:szCs w:val="22"/>
          <w:lang w:val="en-GB"/>
        </w:rPr>
        <w:t xml:space="preserve"> the structural differences and </w:t>
      </w:r>
      <w:r w:rsidR="0040038B">
        <w:rPr>
          <w:sz w:val="22"/>
          <w:szCs w:val="22"/>
          <w:lang w:val="en-GB"/>
        </w:rPr>
        <w:t>similarities between</w:t>
      </w:r>
      <w:r w:rsidR="00A84F44">
        <w:rPr>
          <w:sz w:val="22"/>
          <w:szCs w:val="22"/>
          <w:lang w:val="en-GB"/>
        </w:rPr>
        <w:t xml:space="preserve"> </w:t>
      </w:r>
      <w:r w:rsidR="00A5750F">
        <w:rPr>
          <w:sz w:val="22"/>
          <w:szCs w:val="22"/>
          <w:lang w:val="en-GB"/>
        </w:rPr>
        <w:t xml:space="preserve">the </w:t>
      </w:r>
      <w:r w:rsidR="00090576">
        <w:rPr>
          <w:sz w:val="22"/>
          <w:szCs w:val="22"/>
          <w:lang w:val="en-GB"/>
        </w:rPr>
        <w:t xml:space="preserve">samples to be obtained, </w:t>
      </w:r>
      <w:r w:rsidR="00A11710">
        <w:rPr>
          <w:sz w:val="22"/>
          <w:szCs w:val="22"/>
          <w:lang w:val="en-GB"/>
        </w:rPr>
        <w:t xml:space="preserve">as well as the identification of </w:t>
      </w:r>
      <w:r w:rsidR="00090576">
        <w:rPr>
          <w:sz w:val="22"/>
          <w:szCs w:val="22"/>
          <w:lang w:val="en-GB"/>
        </w:rPr>
        <w:t>the decisive factors for batch quality</w:t>
      </w:r>
      <w:r w:rsidR="006B4DA5">
        <w:rPr>
          <w:sz w:val="22"/>
          <w:szCs w:val="22"/>
          <w:lang w:val="en-GB"/>
        </w:rPr>
        <w:t>.</w:t>
      </w:r>
      <w:r w:rsidR="009E2AB6">
        <w:rPr>
          <w:sz w:val="22"/>
          <w:szCs w:val="22"/>
          <w:lang w:val="en-GB"/>
        </w:rPr>
        <w:t xml:space="preserve"> </w:t>
      </w:r>
    </w:p>
    <w:p w14:paraId="061DAA5B" w14:textId="77777777" w:rsidR="00230258" w:rsidRPr="006B503C" w:rsidRDefault="00230258">
      <w:pPr>
        <w:pStyle w:val="Textkrper"/>
        <w:jc w:val="both"/>
        <w:rPr>
          <w:sz w:val="22"/>
          <w:szCs w:val="22"/>
          <w:lang w:val="en-GB"/>
        </w:rPr>
      </w:pPr>
    </w:p>
    <w:p w14:paraId="480799A6" w14:textId="77777777" w:rsidR="00DB5DA7" w:rsidRDefault="00DB5DA7">
      <w:pPr>
        <w:pStyle w:val="Textkrper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55535F2C" w14:textId="0645C8E0" w:rsidR="00A400E3" w:rsidRDefault="00DB5DA7" w:rsidP="00B92762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A400E3">
        <w:rPr>
          <w:rFonts w:ascii="Arial" w:hAnsi="Arial" w:cs="Arial"/>
        </w:rPr>
        <w:t>Al</w:t>
      </w:r>
      <w:r w:rsidR="00A400E3" w:rsidRPr="00C639F6">
        <w:rPr>
          <w:rFonts w:ascii="Arial" w:hAnsi="Arial" w:cs="Arial"/>
        </w:rPr>
        <w:t>-Assaf, S., Katayama, T., &amp; Phillips, G. O. (2003). Quality Control of Gum Arabic</w:t>
      </w:r>
      <w:r w:rsidR="00A400E3">
        <w:rPr>
          <w:rFonts w:ascii="Arial" w:hAnsi="Arial" w:cs="Arial"/>
        </w:rPr>
        <w:t>, in</w:t>
      </w:r>
      <w:r w:rsidR="00A400E3" w:rsidRPr="00C639F6">
        <w:rPr>
          <w:rFonts w:ascii="Arial" w:hAnsi="Arial" w:cs="Arial"/>
        </w:rPr>
        <w:t xml:space="preserve"> </w:t>
      </w:r>
      <w:r w:rsidR="00A400E3" w:rsidRPr="00776489">
        <w:rPr>
          <w:rFonts w:ascii="Arial" w:hAnsi="Arial" w:cs="Arial"/>
          <w:i/>
          <w:iCs/>
        </w:rPr>
        <w:t>Foods &amp; Food Ingredients Journal of Japan</w:t>
      </w:r>
      <w:r w:rsidR="00A400E3" w:rsidRPr="00C639F6">
        <w:rPr>
          <w:rFonts w:ascii="Arial" w:hAnsi="Arial" w:cs="Arial"/>
        </w:rPr>
        <w:t xml:space="preserve">, 208(10), </w:t>
      </w:r>
      <w:r w:rsidR="00A400E3">
        <w:rPr>
          <w:rFonts w:ascii="Arial" w:hAnsi="Arial" w:cs="Arial"/>
        </w:rPr>
        <w:t xml:space="preserve">pp. </w:t>
      </w:r>
      <w:r w:rsidR="00A400E3" w:rsidRPr="00C639F6">
        <w:rPr>
          <w:rFonts w:ascii="Arial" w:hAnsi="Arial" w:cs="Arial"/>
        </w:rPr>
        <w:t>771–780</w:t>
      </w:r>
      <w:r w:rsidR="00A400E3">
        <w:rPr>
          <w:rFonts w:ascii="Arial" w:hAnsi="Arial" w:cs="Arial"/>
        </w:rPr>
        <w:t>.</w:t>
      </w:r>
    </w:p>
    <w:p w14:paraId="2B1AA5B8" w14:textId="24E15591" w:rsidR="006B6086" w:rsidRDefault="00A400E3" w:rsidP="006B6086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3F2977" w:rsidRPr="003F2977">
        <w:rPr>
          <w:rFonts w:ascii="Arial" w:hAnsi="Arial" w:cs="Arial"/>
        </w:rPr>
        <w:t>Atgié, M., Masbernat, O., &amp; Roger, K. (2019). Emulsions Stabilized by Gum Arabic: Composition and Packing within Interfacial Films</w:t>
      </w:r>
      <w:r w:rsidR="000A4608">
        <w:rPr>
          <w:rFonts w:ascii="Arial" w:hAnsi="Arial" w:cs="Arial"/>
        </w:rPr>
        <w:t>, in</w:t>
      </w:r>
      <w:r w:rsidR="003F2977" w:rsidRPr="003F2977">
        <w:rPr>
          <w:rFonts w:ascii="Arial" w:hAnsi="Arial" w:cs="Arial"/>
        </w:rPr>
        <w:t xml:space="preserve"> </w:t>
      </w:r>
      <w:r w:rsidR="000A4608" w:rsidRPr="00B56AC7">
        <w:rPr>
          <w:rFonts w:ascii="Arial" w:hAnsi="Arial" w:cs="Arial"/>
          <w:i/>
          <w:iCs/>
        </w:rPr>
        <w:t>Langmuir:</w:t>
      </w:r>
      <w:r w:rsidR="003F2977" w:rsidRPr="00B56AC7">
        <w:rPr>
          <w:rFonts w:ascii="Arial" w:hAnsi="Arial" w:cs="Arial"/>
          <w:i/>
          <w:iCs/>
        </w:rPr>
        <w:t xml:space="preserve"> The ACS Journal of Surfaces and Colloids</w:t>
      </w:r>
      <w:r w:rsidR="003F2977" w:rsidRPr="003F2977">
        <w:rPr>
          <w:rFonts w:ascii="Arial" w:hAnsi="Arial" w:cs="Arial"/>
        </w:rPr>
        <w:t>, 35(4),</w:t>
      </w:r>
      <w:r w:rsidR="006B6086">
        <w:rPr>
          <w:rFonts w:ascii="Arial" w:hAnsi="Arial" w:cs="Arial"/>
        </w:rPr>
        <w:t xml:space="preserve"> pp.</w:t>
      </w:r>
      <w:r w:rsidR="003F2977" w:rsidRPr="003F2977">
        <w:rPr>
          <w:rFonts w:ascii="Arial" w:hAnsi="Arial" w:cs="Arial"/>
        </w:rPr>
        <w:t xml:space="preserve"> 962–97</w:t>
      </w:r>
      <w:r w:rsidR="006B6086">
        <w:rPr>
          <w:rFonts w:ascii="Arial" w:hAnsi="Arial" w:cs="Arial"/>
        </w:rPr>
        <w:t>2</w:t>
      </w:r>
      <w:r w:rsidR="00B56AC7">
        <w:rPr>
          <w:rFonts w:ascii="Arial" w:hAnsi="Arial" w:cs="Arial"/>
        </w:rPr>
        <w:t>.</w:t>
      </w:r>
    </w:p>
    <w:p w14:paraId="5F79C24C" w14:textId="490405B9" w:rsidR="00776489" w:rsidRPr="00EC0610" w:rsidRDefault="00B92762" w:rsidP="008B0486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F0FE6">
        <w:rPr>
          <w:rFonts w:ascii="Arial" w:hAnsi="Arial" w:cs="Arial"/>
        </w:rPr>
        <w:tab/>
      </w:r>
      <w:r w:rsidR="0090072B" w:rsidRPr="0090072B">
        <w:rPr>
          <w:rFonts w:ascii="Arial" w:hAnsi="Arial" w:cs="Arial"/>
        </w:rPr>
        <w:t>Randall, R. C., Phillips, G. O., &amp; Williams, P. A. (1988). The role of the proteinaceous component on the emulsifying properties of gum arabic</w:t>
      </w:r>
      <w:r w:rsidR="007E4511">
        <w:rPr>
          <w:rFonts w:ascii="Arial" w:hAnsi="Arial" w:cs="Arial"/>
        </w:rPr>
        <w:t>, in</w:t>
      </w:r>
      <w:r w:rsidR="0090072B" w:rsidRPr="0090072B">
        <w:rPr>
          <w:rFonts w:ascii="Arial" w:hAnsi="Arial" w:cs="Arial"/>
        </w:rPr>
        <w:t xml:space="preserve"> </w:t>
      </w:r>
      <w:r w:rsidR="0090072B" w:rsidRPr="007E4511">
        <w:rPr>
          <w:rFonts w:ascii="Arial" w:hAnsi="Arial" w:cs="Arial"/>
          <w:i/>
          <w:iCs/>
        </w:rPr>
        <w:t>Food Hydrocolloids</w:t>
      </w:r>
      <w:r w:rsidR="0090072B" w:rsidRPr="0090072B">
        <w:rPr>
          <w:rFonts w:ascii="Arial" w:hAnsi="Arial" w:cs="Arial"/>
        </w:rPr>
        <w:t xml:space="preserve">, 2(2), </w:t>
      </w:r>
      <w:r w:rsidR="007E4511">
        <w:rPr>
          <w:rFonts w:ascii="Arial" w:hAnsi="Arial" w:cs="Arial"/>
        </w:rPr>
        <w:t xml:space="preserve">pp. </w:t>
      </w:r>
      <w:r w:rsidR="0090072B" w:rsidRPr="0090072B">
        <w:rPr>
          <w:rFonts w:ascii="Arial" w:hAnsi="Arial" w:cs="Arial"/>
        </w:rPr>
        <w:t>131–140.</w:t>
      </w:r>
    </w:p>
    <w:sectPr w:rsidR="00776489" w:rsidRPr="00EC0610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43237165">
    <w:abstractNumId w:val="1"/>
  </w:num>
  <w:num w:numId="2" w16cid:durableId="167858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53293"/>
    <w:rsid w:val="0006496B"/>
    <w:rsid w:val="0008472D"/>
    <w:rsid w:val="00090576"/>
    <w:rsid w:val="0009789F"/>
    <w:rsid w:val="000A4608"/>
    <w:rsid w:val="000A5F5C"/>
    <w:rsid w:val="000B63F2"/>
    <w:rsid w:val="000D274E"/>
    <w:rsid w:val="000E0C50"/>
    <w:rsid w:val="000E0E19"/>
    <w:rsid w:val="000E42F0"/>
    <w:rsid w:val="000F0855"/>
    <w:rsid w:val="000F2BBE"/>
    <w:rsid w:val="000F54DB"/>
    <w:rsid w:val="00102E71"/>
    <w:rsid w:val="00112984"/>
    <w:rsid w:val="00134C44"/>
    <w:rsid w:val="00135875"/>
    <w:rsid w:val="00140067"/>
    <w:rsid w:val="00147601"/>
    <w:rsid w:val="00160439"/>
    <w:rsid w:val="00167071"/>
    <w:rsid w:val="00172E60"/>
    <w:rsid w:val="00175D26"/>
    <w:rsid w:val="001A3E44"/>
    <w:rsid w:val="001A47AD"/>
    <w:rsid w:val="001B3089"/>
    <w:rsid w:val="001B3B86"/>
    <w:rsid w:val="001B40F1"/>
    <w:rsid w:val="001C3E6B"/>
    <w:rsid w:val="001C5A88"/>
    <w:rsid w:val="001C692F"/>
    <w:rsid w:val="001D2930"/>
    <w:rsid w:val="001D6637"/>
    <w:rsid w:val="001D6B07"/>
    <w:rsid w:val="001E0BDC"/>
    <w:rsid w:val="001E70D5"/>
    <w:rsid w:val="001E768D"/>
    <w:rsid w:val="001F5267"/>
    <w:rsid w:val="00203716"/>
    <w:rsid w:val="0021030B"/>
    <w:rsid w:val="00230258"/>
    <w:rsid w:val="00231A28"/>
    <w:rsid w:val="00232F0D"/>
    <w:rsid w:val="0028490A"/>
    <w:rsid w:val="002910D6"/>
    <w:rsid w:val="00295A0A"/>
    <w:rsid w:val="002971DE"/>
    <w:rsid w:val="002C1668"/>
    <w:rsid w:val="002C3790"/>
    <w:rsid w:val="002C70EF"/>
    <w:rsid w:val="002D37C2"/>
    <w:rsid w:val="002D3C3A"/>
    <w:rsid w:val="002E352F"/>
    <w:rsid w:val="002F2647"/>
    <w:rsid w:val="0031778A"/>
    <w:rsid w:val="00337ACC"/>
    <w:rsid w:val="0035118B"/>
    <w:rsid w:val="0035215A"/>
    <w:rsid w:val="00377BAE"/>
    <w:rsid w:val="00380DD2"/>
    <w:rsid w:val="0038794D"/>
    <w:rsid w:val="003A23CE"/>
    <w:rsid w:val="003A6423"/>
    <w:rsid w:val="003D000C"/>
    <w:rsid w:val="003E058F"/>
    <w:rsid w:val="003E4E77"/>
    <w:rsid w:val="003F2977"/>
    <w:rsid w:val="0040038B"/>
    <w:rsid w:val="004007BA"/>
    <w:rsid w:val="00417E97"/>
    <w:rsid w:val="00432951"/>
    <w:rsid w:val="00437A16"/>
    <w:rsid w:val="00441653"/>
    <w:rsid w:val="00445CBA"/>
    <w:rsid w:val="0045271B"/>
    <w:rsid w:val="004C6E07"/>
    <w:rsid w:val="004D36BC"/>
    <w:rsid w:val="004F21A3"/>
    <w:rsid w:val="005057B2"/>
    <w:rsid w:val="00506BE6"/>
    <w:rsid w:val="00517F7F"/>
    <w:rsid w:val="00520E44"/>
    <w:rsid w:val="00561034"/>
    <w:rsid w:val="005715FB"/>
    <w:rsid w:val="005B5853"/>
    <w:rsid w:val="006047D8"/>
    <w:rsid w:val="00623E0C"/>
    <w:rsid w:val="006326DF"/>
    <w:rsid w:val="00640F24"/>
    <w:rsid w:val="00655D8E"/>
    <w:rsid w:val="00671EF5"/>
    <w:rsid w:val="00685075"/>
    <w:rsid w:val="006B107C"/>
    <w:rsid w:val="006B4DA5"/>
    <w:rsid w:val="006B503C"/>
    <w:rsid w:val="006B6086"/>
    <w:rsid w:val="006C360F"/>
    <w:rsid w:val="006D105C"/>
    <w:rsid w:val="006E5329"/>
    <w:rsid w:val="006F0FE6"/>
    <w:rsid w:val="006F21F7"/>
    <w:rsid w:val="006F73AB"/>
    <w:rsid w:val="00720164"/>
    <w:rsid w:val="00740EF7"/>
    <w:rsid w:val="00741FFD"/>
    <w:rsid w:val="00750683"/>
    <w:rsid w:val="007572D5"/>
    <w:rsid w:val="00763746"/>
    <w:rsid w:val="00774166"/>
    <w:rsid w:val="00776489"/>
    <w:rsid w:val="007768E7"/>
    <w:rsid w:val="00777499"/>
    <w:rsid w:val="00792B2D"/>
    <w:rsid w:val="007A2F69"/>
    <w:rsid w:val="007B247A"/>
    <w:rsid w:val="007C193D"/>
    <w:rsid w:val="007D58F3"/>
    <w:rsid w:val="007E4511"/>
    <w:rsid w:val="008024D7"/>
    <w:rsid w:val="0080526E"/>
    <w:rsid w:val="00810541"/>
    <w:rsid w:val="00810985"/>
    <w:rsid w:val="00817952"/>
    <w:rsid w:val="008220BF"/>
    <w:rsid w:val="00825E67"/>
    <w:rsid w:val="00826F3B"/>
    <w:rsid w:val="0083016E"/>
    <w:rsid w:val="00833FDF"/>
    <w:rsid w:val="00867B37"/>
    <w:rsid w:val="00870162"/>
    <w:rsid w:val="00872F43"/>
    <w:rsid w:val="00873397"/>
    <w:rsid w:val="00873B83"/>
    <w:rsid w:val="008809FE"/>
    <w:rsid w:val="0088420A"/>
    <w:rsid w:val="008906D4"/>
    <w:rsid w:val="008A570D"/>
    <w:rsid w:val="008B0486"/>
    <w:rsid w:val="008B121E"/>
    <w:rsid w:val="008B3899"/>
    <w:rsid w:val="008B4C35"/>
    <w:rsid w:val="0090072B"/>
    <w:rsid w:val="00902D40"/>
    <w:rsid w:val="00927D57"/>
    <w:rsid w:val="00941CCC"/>
    <w:rsid w:val="00947543"/>
    <w:rsid w:val="0095226D"/>
    <w:rsid w:val="009846D4"/>
    <w:rsid w:val="009A341A"/>
    <w:rsid w:val="009A4969"/>
    <w:rsid w:val="009E2AB6"/>
    <w:rsid w:val="009F085D"/>
    <w:rsid w:val="009F1539"/>
    <w:rsid w:val="009F28DA"/>
    <w:rsid w:val="00A11710"/>
    <w:rsid w:val="00A21ABB"/>
    <w:rsid w:val="00A229A3"/>
    <w:rsid w:val="00A236DA"/>
    <w:rsid w:val="00A23A90"/>
    <w:rsid w:val="00A25983"/>
    <w:rsid w:val="00A33CD9"/>
    <w:rsid w:val="00A400E3"/>
    <w:rsid w:val="00A41BA0"/>
    <w:rsid w:val="00A4385D"/>
    <w:rsid w:val="00A44216"/>
    <w:rsid w:val="00A55807"/>
    <w:rsid w:val="00A5750F"/>
    <w:rsid w:val="00A662DB"/>
    <w:rsid w:val="00A73465"/>
    <w:rsid w:val="00A8170D"/>
    <w:rsid w:val="00A81A9C"/>
    <w:rsid w:val="00A83F64"/>
    <w:rsid w:val="00A84F44"/>
    <w:rsid w:val="00A92378"/>
    <w:rsid w:val="00A960E4"/>
    <w:rsid w:val="00AA0EE6"/>
    <w:rsid w:val="00AC211E"/>
    <w:rsid w:val="00AE7752"/>
    <w:rsid w:val="00AE79DD"/>
    <w:rsid w:val="00AF15E7"/>
    <w:rsid w:val="00B029DE"/>
    <w:rsid w:val="00B22A85"/>
    <w:rsid w:val="00B370ED"/>
    <w:rsid w:val="00B56412"/>
    <w:rsid w:val="00B56AC7"/>
    <w:rsid w:val="00B56E2B"/>
    <w:rsid w:val="00B707AA"/>
    <w:rsid w:val="00B92762"/>
    <w:rsid w:val="00BA2291"/>
    <w:rsid w:val="00BB3148"/>
    <w:rsid w:val="00BB4CF2"/>
    <w:rsid w:val="00BC542B"/>
    <w:rsid w:val="00BD23E4"/>
    <w:rsid w:val="00C01599"/>
    <w:rsid w:val="00C200A8"/>
    <w:rsid w:val="00C30EA8"/>
    <w:rsid w:val="00C34963"/>
    <w:rsid w:val="00C43822"/>
    <w:rsid w:val="00C61629"/>
    <w:rsid w:val="00C639F6"/>
    <w:rsid w:val="00C819C5"/>
    <w:rsid w:val="00C84F7B"/>
    <w:rsid w:val="00CB0BE4"/>
    <w:rsid w:val="00CB5603"/>
    <w:rsid w:val="00CE2469"/>
    <w:rsid w:val="00CF0EF9"/>
    <w:rsid w:val="00D019C3"/>
    <w:rsid w:val="00D14733"/>
    <w:rsid w:val="00D155AF"/>
    <w:rsid w:val="00D2595E"/>
    <w:rsid w:val="00D339AA"/>
    <w:rsid w:val="00D3457D"/>
    <w:rsid w:val="00D34BB9"/>
    <w:rsid w:val="00D36C64"/>
    <w:rsid w:val="00D41930"/>
    <w:rsid w:val="00D55B5D"/>
    <w:rsid w:val="00D55E92"/>
    <w:rsid w:val="00D72BDA"/>
    <w:rsid w:val="00D7332F"/>
    <w:rsid w:val="00D91754"/>
    <w:rsid w:val="00D94635"/>
    <w:rsid w:val="00DB5DA7"/>
    <w:rsid w:val="00DB7BB2"/>
    <w:rsid w:val="00DE4992"/>
    <w:rsid w:val="00DE7800"/>
    <w:rsid w:val="00E07D80"/>
    <w:rsid w:val="00E40222"/>
    <w:rsid w:val="00E50103"/>
    <w:rsid w:val="00E55937"/>
    <w:rsid w:val="00E55EFA"/>
    <w:rsid w:val="00E74787"/>
    <w:rsid w:val="00E82051"/>
    <w:rsid w:val="00EC0610"/>
    <w:rsid w:val="00EC2606"/>
    <w:rsid w:val="00ED497E"/>
    <w:rsid w:val="00EE00B1"/>
    <w:rsid w:val="00EE06B0"/>
    <w:rsid w:val="00EE6A66"/>
    <w:rsid w:val="00F04428"/>
    <w:rsid w:val="00F2205C"/>
    <w:rsid w:val="00F267DD"/>
    <w:rsid w:val="00F42519"/>
    <w:rsid w:val="00F56D48"/>
    <w:rsid w:val="00F757BA"/>
    <w:rsid w:val="00F81C98"/>
    <w:rsid w:val="00F96317"/>
    <w:rsid w:val="00FD6293"/>
    <w:rsid w:val="00FE0FD0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550C7"/>
  <w15:chartTrackingRefBased/>
  <w15:docId w15:val="{4BFDB0CF-6EC9-8648-8FF1-487A5EE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  <w:szCs w:val="24"/>
    </w:rPr>
  </w:style>
  <w:style w:type="paragraph" w:customStyle="1" w:styleId="p1">
    <w:name w:val="p1"/>
    <w:basedOn w:val="Standard"/>
    <w:rsid w:val="007768E7"/>
    <w:pPr>
      <w:autoSpaceDE/>
      <w:autoSpaceDN/>
    </w:pPr>
    <w:rPr>
      <w:rFonts w:ascii=".AppleSystemUIFont" w:eastAsiaTheme="minorEastAsia" w:hAnsi=".AppleSystemUIFont"/>
      <w:color w:val="111111"/>
      <w:sz w:val="26"/>
      <w:szCs w:val="26"/>
      <w:lang w:val="de-DE" w:eastAsia="ja-JP"/>
    </w:rPr>
  </w:style>
  <w:style w:type="character" w:styleId="Hyperlink">
    <w:name w:val="Hyperlink"/>
    <w:basedOn w:val="Absatz-Standardschriftart"/>
    <w:rsid w:val="006B60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0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F0FE6"/>
    <w:pPr>
      <w:ind w:left="720"/>
      <w:contextualSpacing/>
    </w:pPr>
  </w:style>
  <w:style w:type="paragraph" w:styleId="berarbeitung">
    <w:name w:val="Revision"/>
    <w:hidden/>
    <w:uiPriority w:val="99"/>
    <w:semiHidden/>
    <w:rsid w:val="00337ACC"/>
    <w:rPr>
      <w:rFonts w:eastAsia="SimSun"/>
      <w:lang w:val="nb-NO" w:eastAsia="zh-CN"/>
    </w:rPr>
  </w:style>
  <w:style w:type="character" w:styleId="Kommentarzeichen">
    <w:name w:val="annotation reference"/>
    <w:basedOn w:val="Absatz-Standardschriftart"/>
    <w:rsid w:val="00337A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37ACC"/>
  </w:style>
  <w:style w:type="character" w:customStyle="1" w:styleId="KommentartextZchn">
    <w:name w:val="Kommentartext Zchn"/>
    <w:basedOn w:val="Absatz-Standardschriftart"/>
    <w:link w:val="Kommentartext"/>
    <w:rsid w:val="00337ACC"/>
    <w:rPr>
      <w:rFonts w:eastAsia="SimSun"/>
      <w:lang w:val="nb-NO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337A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37ACC"/>
    <w:rPr>
      <w:rFonts w:eastAsia="SimSun"/>
      <w:b/>
      <w:bCs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– 2022-Design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–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–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Frederike Thal</cp:lastModifiedBy>
  <cp:revision>2</cp:revision>
  <cp:lastPrinted>2008-01-25T14:22:00Z</cp:lastPrinted>
  <dcterms:created xsi:type="dcterms:W3CDTF">2024-12-24T17:06:00Z</dcterms:created>
  <dcterms:modified xsi:type="dcterms:W3CDTF">2024-12-24T17:06:00Z</dcterms:modified>
</cp:coreProperties>
</file>