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0FA0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cs="Arial"/>
          <w:b/>
          <w:bCs/>
          <w:i w:val="0"/>
          <w:iCs w:val="0"/>
          <w:sz w:val="32"/>
          <w:szCs w:val="32"/>
        </w:rPr>
      </w:pPr>
      <w:r>
        <w:rPr>
          <w:rFonts w:hint="default" w:ascii="Arial" w:hAnsi="Arial" w:cs="Arial"/>
          <w:b/>
          <w:bCs/>
          <w:i w:val="0"/>
          <w:iCs w:val="0"/>
          <w:sz w:val="32"/>
          <w:szCs w:val="32"/>
        </w:rPr>
        <w:t xml:space="preserve">Evaluation of thickening effect of </w:t>
      </w:r>
      <w:r>
        <w:rPr>
          <w:rFonts w:hint="default" w:ascii="Arial" w:hAnsi="Arial" w:cs="Arial"/>
          <w:b/>
          <w:bCs/>
          <w:i/>
          <w:iCs/>
          <w:sz w:val="32"/>
          <w:szCs w:val="32"/>
        </w:rPr>
        <w:t>sesbania</w:t>
      </w:r>
      <w:r>
        <w:rPr>
          <w:rFonts w:hint="default" w:ascii="Arial" w:hAnsi="Arial" w:cs="Arial"/>
          <w:b/>
          <w:bCs/>
          <w:i w:val="0"/>
          <w:iCs w:val="0"/>
          <w:sz w:val="32"/>
          <w:szCs w:val="32"/>
        </w:rPr>
        <w:t xml:space="preserve"> gum and carboxymethyl </w:t>
      </w:r>
      <w:r>
        <w:rPr>
          <w:rFonts w:hint="eastAsia" w:ascii="Arial" w:hAnsi="Arial" w:cs="Arial"/>
          <w:b/>
          <w:bCs/>
          <w:i/>
          <w:iCs/>
          <w:sz w:val="32"/>
          <w:szCs w:val="32"/>
          <w:lang w:val="en-US" w:eastAsia="zh-CN"/>
        </w:rPr>
        <w:t>s</w:t>
      </w:r>
      <w:r>
        <w:rPr>
          <w:rFonts w:hint="default" w:ascii="Arial" w:hAnsi="Arial" w:cs="Arial"/>
          <w:b/>
          <w:bCs/>
          <w:i/>
          <w:iCs/>
          <w:sz w:val="32"/>
          <w:szCs w:val="32"/>
        </w:rPr>
        <w:t>esbania</w:t>
      </w:r>
      <w:r>
        <w:rPr>
          <w:rFonts w:hint="default" w:ascii="Arial" w:hAnsi="Arial" w:cs="Arial"/>
          <w:b/>
          <w:bCs/>
          <w:i w:val="0"/>
          <w:iCs w:val="0"/>
          <w:sz w:val="32"/>
          <w:szCs w:val="32"/>
        </w:rPr>
        <w:t xml:space="preserve"> gum</w:t>
      </w:r>
    </w:p>
    <w:p w14:paraId="5625F36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cs="Arial"/>
          <w:b/>
          <w:bCs/>
          <w:i w:val="0"/>
          <w:iCs w:val="0"/>
          <w:sz w:val="32"/>
          <w:szCs w:val="32"/>
        </w:rPr>
      </w:pPr>
    </w:p>
    <w:p w14:paraId="6F66D3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 w:val="0"/>
          <w:bCs w:val="0"/>
          <w:i w:val="0"/>
          <w:iCs w:val="0"/>
          <w:sz w:val="24"/>
          <w:szCs w:val="24"/>
          <w:vertAlign w:val="superscript"/>
          <w:lang w:val="en-US" w:eastAsia="zh-CN"/>
        </w:rPr>
      </w:pPr>
      <w:r>
        <w:rPr>
          <w:rFonts w:hint="eastAsia" w:ascii="Times New Roman" w:hAnsi="Times New Roman" w:cs="Times New Roman"/>
          <w:b w:val="0"/>
          <w:bCs w:val="0"/>
          <w:i w:val="0"/>
          <w:iCs w:val="0"/>
          <w:sz w:val="24"/>
          <w:szCs w:val="24"/>
          <w:lang w:val="en-US" w:eastAsia="zh-CN"/>
        </w:rPr>
        <w:t>Xiaojia Bian</w:t>
      </w:r>
      <w:r>
        <w:rPr>
          <w:rFonts w:hint="eastAsia" w:ascii="Times New Roman" w:hAnsi="Times New Roman" w:cs="Times New Roman"/>
          <w:b w:val="0"/>
          <w:bCs w:val="0"/>
          <w:i w:val="0"/>
          <w:iCs w:val="0"/>
          <w:sz w:val="24"/>
          <w:szCs w:val="24"/>
          <w:vertAlign w:val="superscript"/>
          <w:lang w:val="en-US" w:eastAsia="zh-CN"/>
        </w:rPr>
        <w:t>1</w:t>
      </w:r>
      <w:r>
        <w:rPr>
          <w:rFonts w:hint="eastAsia" w:ascii="Times New Roman" w:hAnsi="Times New Roman" w:cs="Times New Roman"/>
          <w:b w:val="0"/>
          <w:bCs w:val="0"/>
          <w:i w:val="0"/>
          <w:iCs w:val="0"/>
          <w:sz w:val="24"/>
          <w:szCs w:val="24"/>
          <w:lang w:val="en-US" w:eastAsia="zh-CN"/>
        </w:rPr>
        <w:t>, Ning Tang</w:t>
      </w:r>
      <w:r>
        <w:rPr>
          <w:rFonts w:hint="eastAsia" w:ascii="Times New Roman" w:hAnsi="Times New Roman" w:cs="Times New Roman"/>
          <w:b w:val="0"/>
          <w:bCs w:val="0"/>
          <w:i w:val="0"/>
          <w:iCs w:val="0"/>
          <w:sz w:val="24"/>
          <w:szCs w:val="24"/>
          <w:vertAlign w:val="superscript"/>
          <w:lang w:val="en-US" w:eastAsia="zh-CN"/>
        </w:rPr>
        <w:t>1</w:t>
      </w:r>
      <w:r>
        <w:rPr>
          <w:rFonts w:hint="eastAsia" w:ascii="Times New Roman" w:hAnsi="Times New Roman" w:cs="Times New Roman"/>
          <w:b w:val="0"/>
          <w:bCs w:val="0"/>
          <w:i w:val="0"/>
          <w:iCs w:val="0"/>
          <w:sz w:val="24"/>
          <w:szCs w:val="24"/>
          <w:lang w:val="en-US" w:eastAsia="zh-CN"/>
        </w:rPr>
        <w:t xml:space="preserve">, </w:t>
      </w:r>
      <w:r>
        <w:rPr>
          <w:rFonts w:hint="default" w:ascii="Times New Roman" w:hAnsi="Times New Roman" w:cs="Times New Roman"/>
          <w:b w:val="0"/>
          <w:bCs w:val="0"/>
          <w:i w:val="0"/>
          <w:iCs w:val="0"/>
          <w:sz w:val="24"/>
          <w:szCs w:val="24"/>
          <w:lang w:val="en-US" w:eastAsia="zh-CN"/>
        </w:rPr>
        <w:t>Yongqiang Cheng</w:t>
      </w:r>
      <w:r>
        <w:rPr>
          <w:rFonts w:hint="eastAsia" w:ascii="Times New Roman" w:hAnsi="Times New Roman" w:cs="Times New Roman"/>
          <w:b w:val="0"/>
          <w:bCs w:val="0"/>
          <w:i w:val="0"/>
          <w:iCs w:val="0"/>
          <w:sz w:val="24"/>
          <w:szCs w:val="24"/>
          <w:vertAlign w:val="superscript"/>
          <w:lang w:val="en-US" w:eastAsia="zh-CN"/>
        </w:rPr>
        <w:t>1</w:t>
      </w:r>
      <w:r>
        <w:rPr>
          <w:rFonts w:hint="eastAsia" w:ascii="Times New Roman" w:hAnsi="Times New Roman" w:cs="Times New Roman"/>
          <w:b w:val="0"/>
          <w:bCs w:val="0"/>
          <w:i w:val="0"/>
          <w:iCs w:val="0"/>
          <w:sz w:val="24"/>
          <w:szCs w:val="24"/>
          <w:lang w:val="en-US" w:eastAsia="zh-CN"/>
        </w:rPr>
        <w:t>, Jasper Landman</w:t>
      </w:r>
      <w:r>
        <w:rPr>
          <w:rFonts w:hint="eastAsia" w:ascii="Times New Roman" w:hAnsi="Times New Roman" w:cs="Times New Roman"/>
          <w:b w:val="0"/>
          <w:bCs w:val="0"/>
          <w:i w:val="0"/>
          <w:iCs w:val="0"/>
          <w:sz w:val="24"/>
          <w:szCs w:val="24"/>
          <w:vertAlign w:val="superscript"/>
          <w:lang w:val="en-US" w:eastAsia="zh-CN"/>
        </w:rPr>
        <w:t>2</w:t>
      </w:r>
    </w:p>
    <w:p w14:paraId="4906FA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 w:val="0"/>
          <w:bCs w:val="0"/>
          <w:i w:val="0"/>
          <w:iCs w:val="0"/>
          <w:sz w:val="24"/>
          <w:szCs w:val="24"/>
          <w:vertAlign w:val="superscript"/>
          <w:lang w:val="en-US" w:eastAsia="zh-CN"/>
        </w:rPr>
      </w:pPr>
    </w:p>
    <w:p w14:paraId="34F7AA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等线" w:cs="Times New Roman"/>
          <w:i/>
          <w:iCs/>
          <w:sz w:val="24"/>
        </w:rPr>
      </w:pPr>
      <w:bookmarkStart w:id="0" w:name="_Hlk161759178"/>
      <w:r>
        <w:rPr>
          <w:rFonts w:hint="eastAsia" w:ascii="Times New Roman" w:hAnsi="Times New Roman" w:eastAsia="等线" w:cs="Times New Roman"/>
          <w:sz w:val="24"/>
          <w:vertAlign w:val="superscript"/>
          <w:lang w:val="en-US" w:eastAsia="zh-CN"/>
        </w:rPr>
        <w:t>1</w:t>
      </w:r>
      <w:r>
        <w:rPr>
          <w:rFonts w:ascii="Times New Roman" w:hAnsi="Times New Roman" w:eastAsia="等线" w:cs="Times New Roman"/>
          <w:i/>
          <w:iCs/>
          <w:sz w:val="24"/>
        </w:rPr>
        <w:t>Beijing Key Laboratory of Functional Food from Plant Resources, College of Food Science and Nutritional Engineering, China Agricultural University, Beijing 100083, China</w:t>
      </w:r>
      <w:bookmarkEnd w:id="0"/>
    </w:p>
    <w:p w14:paraId="07ED08C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等线" w:cs="Times New Roman"/>
          <w:i/>
          <w:iCs/>
          <w:sz w:val="24"/>
          <w:vertAlign w:val="superscript"/>
          <w:lang w:val="en-US" w:eastAsia="zh-CN"/>
        </w:rPr>
      </w:pPr>
      <w:r>
        <w:rPr>
          <w:rFonts w:hint="eastAsia" w:ascii="Times New Roman" w:hAnsi="Times New Roman" w:eastAsia="等线" w:cs="Times New Roman"/>
          <w:i/>
          <w:iCs/>
          <w:sz w:val="24"/>
          <w:vertAlign w:val="superscript"/>
          <w:lang w:val="en-US" w:eastAsia="zh-CN"/>
        </w:rPr>
        <w:t>2</w:t>
      </w:r>
      <w:r>
        <w:rPr>
          <w:rFonts w:hint="eastAsia" w:ascii="Times New Roman" w:hAnsi="Times New Roman" w:eastAsia="等线" w:cs="Times New Roman"/>
          <w:i/>
          <w:iCs/>
          <w:sz w:val="24"/>
          <w:lang w:val="en-US" w:eastAsia="zh-CN"/>
        </w:rPr>
        <w:t>Wageningen Univ, Lab Phys &amp; Phys Chem Foods, Bornse Weilanden 9, NL-6708 WG Wageningen, Netherlands</w:t>
      </w:r>
    </w:p>
    <w:p w14:paraId="20937FDE">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i w:val="0"/>
          <w:iCs w:val="0"/>
          <w:sz w:val="24"/>
          <w:szCs w:val="24"/>
          <w:lang w:val="en-US" w:eastAsia="zh-CN"/>
        </w:rPr>
      </w:pPr>
      <w:bookmarkStart w:id="1" w:name="_GoBack"/>
      <w:bookmarkEnd w:id="1"/>
    </w:p>
    <w:p w14:paraId="5AE46BB2">
      <w:pPr>
        <w:keepNext w:val="0"/>
        <w:keepLines w:val="0"/>
        <w:pageBreakBefore w:val="0"/>
        <w:widowControl w:val="0"/>
        <w:kinsoku/>
        <w:wordWrap/>
        <w:overflowPunct/>
        <w:topLinePunct w:val="0"/>
        <w:autoSpaceDE/>
        <w:autoSpaceDN/>
        <w:bidi w:val="0"/>
        <w:adjustRightInd/>
        <w:snapToGrid/>
        <w:textAlignment w:val="auto"/>
        <w:rPr>
          <w:rFonts w:hint="default" w:ascii="Arial" w:hAnsi="Arial" w:cs="Arial"/>
          <w:sz w:val="22"/>
          <w:szCs w:val="22"/>
          <w:lang w:val="en-US" w:eastAsia="zh-CN"/>
        </w:rPr>
      </w:pPr>
      <w:r>
        <w:rPr>
          <w:rFonts w:hint="default" w:ascii="Arial" w:hAnsi="Arial" w:cs="Arial"/>
          <w:i/>
          <w:iCs/>
          <w:sz w:val="22"/>
          <w:szCs w:val="22"/>
        </w:rPr>
        <w:t>Sesbania</w:t>
      </w:r>
      <w:r>
        <w:rPr>
          <w:rFonts w:hint="default" w:ascii="Arial" w:hAnsi="Arial" w:cs="Arial"/>
          <w:sz w:val="22"/>
          <w:szCs w:val="22"/>
        </w:rPr>
        <w:t xml:space="preserve">, as an excellent crop for improving saline-alkaline soils, is widely cultivated in China. The endosperm of </w:t>
      </w:r>
      <w:r>
        <w:rPr>
          <w:rFonts w:hint="default" w:ascii="Arial" w:hAnsi="Arial" w:cs="Arial"/>
          <w:i/>
          <w:iCs/>
          <w:sz w:val="22"/>
          <w:szCs w:val="22"/>
        </w:rPr>
        <w:t>Sesbania</w:t>
      </w:r>
      <w:r>
        <w:rPr>
          <w:rFonts w:hint="default" w:ascii="Arial" w:hAnsi="Arial" w:cs="Arial"/>
          <w:sz w:val="22"/>
          <w:szCs w:val="22"/>
        </w:rPr>
        <w:t xml:space="preserve"> seeds also contains a rich content of galactomannan, known as </w:t>
      </w:r>
      <w:r>
        <w:rPr>
          <w:rFonts w:hint="default" w:ascii="Arial" w:hAnsi="Arial" w:cs="Arial"/>
          <w:i/>
          <w:iCs/>
          <w:sz w:val="22"/>
          <w:szCs w:val="22"/>
        </w:rPr>
        <w:t>Sesbania</w:t>
      </w:r>
      <w:r>
        <w:rPr>
          <w:rFonts w:hint="default" w:ascii="Arial" w:hAnsi="Arial" w:cs="Arial"/>
          <w:sz w:val="22"/>
          <w:szCs w:val="22"/>
        </w:rPr>
        <w:t xml:space="preserve"> gum.</w:t>
      </w:r>
      <w:r>
        <w:rPr>
          <w:rFonts w:hint="default" w:ascii="Arial" w:hAnsi="Arial" w:cs="Arial"/>
          <w:sz w:val="22"/>
          <w:szCs w:val="22"/>
          <w:lang w:val="en-US" w:eastAsia="zh-CN"/>
        </w:rPr>
        <w:t xml:space="preserve"> However, there is currently a lack of high-purity </w:t>
      </w:r>
      <w:r>
        <w:rPr>
          <w:rFonts w:hint="default" w:ascii="Arial" w:hAnsi="Arial" w:cs="Arial"/>
          <w:i/>
          <w:iCs/>
          <w:sz w:val="22"/>
          <w:szCs w:val="22"/>
          <w:lang w:val="en-US" w:eastAsia="zh-CN"/>
        </w:rPr>
        <w:t>Sesbania</w:t>
      </w:r>
      <w:r>
        <w:rPr>
          <w:rFonts w:hint="default" w:ascii="Arial" w:hAnsi="Arial" w:cs="Arial"/>
          <w:sz w:val="22"/>
          <w:szCs w:val="22"/>
          <w:lang w:val="en-US" w:eastAsia="zh-CN"/>
        </w:rPr>
        <w:t xml:space="preserve"> gum products in China, and its poor dispersibility and solubility limitations restrict its industrial applications. Therefore, we conducted research on the extraction and purification methods of </w:t>
      </w:r>
      <w:r>
        <w:rPr>
          <w:rFonts w:hint="default" w:ascii="Arial" w:hAnsi="Arial" w:cs="Arial"/>
          <w:i/>
          <w:iCs/>
          <w:sz w:val="22"/>
          <w:szCs w:val="22"/>
          <w:lang w:val="en-US" w:eastAsia="zh-CN"/>
        </w:rPr>
        <w:t>Sesbania</w:t>
      </w:r>
      <w:r>
        <w:rPr>
          <w:rFonts w:hint="default" w:ascii="Arial" w:hAnsi="Arial" w:cs="Arial"/>
          <w:sz w:val="22"/>
          <w:szCs w:val="22"/>
          <w:lang w:val="en-US" w:eastAsia="zh-CN"/>
        </w:rPr>
        <w:t xml:space="preserve"> gum and further characterized the differences between the purified </w:t>
      </w:r>
      <w:r>
        <w:rPr>
          <w:rFonts w:hint="default" w:ascii="Arial" w:hAnsi="Arial" w:cs="Arial"/>
          <w:i/>
          <w:iCs/>
          <w:sz w:val="22"/>
          <w:szCs w:val="22"/>
          <w:lang w:val="en-US" w:eastAsia="zh-CN"/>
        </w:rPr>
        <w:t>Sesbania</w:t>
      </w:r>
      <w:r>
        <w:rPr>
          <w:rFonts w:hint="default" w:ascii="Arial" w:hAnsi="Arial" w:cs="Arial"/>
          <w:sz w:val="22"/>
          <w:szCs w:val="22"/>
          <w:lang w:val="en-US" w:eastAsia="zh-CN"/>
        </w:rPr>
        <w:t xml:space="preserve"> gum and other galactomannan gums - guar gum and locust bean gum, in terms of shear rheological properties, tribological characteristics, and extensional rheological behavior. Our results indicate that </w:t>
      </w:r>
      <w:r>
        <w:rPr>
          <w:rFonts w:hint="default" w:ascii="Arial" w:hAnsi="Arial" w:cs="Arial"/>
          <w:i/>
          <w:iCs/>
          <w:sz w:val="22"/>
          <w:szCs w:val="22"/>
          <w:lang w:val="en-US" w:eastAsia="zh-CN"/>
        </w:rPr>
        <w:t>Sesbania</w:t>
      </w:r>
      <w:r>
        <w:rPr>
          <w:rFonts w:hint="default" w:ascii="Arial" w:hAnsi="Arial" w:cs="Arial"/>
          <w:sz w:val="22"/>
          <w:szCs w:val="22"/>
          <w:lang w:val="en-US" w:eastAsia="zh-CN"/>
        </w:rPr>
        <w:t xml:space="preserve"> gum can achieve the same thickening level as other gums, while exhibiting unique lubrication curves and good extensional rheological properties, demonstrating promising potential for industrial applications. In addition, we modified the </w:t>
      </w:r>
      <w:r>
        <w:rPr>
          <w:rFonts w:hint="default" w:ascii="Arial" w:hAnsi="Arial" w:cs="Arial"/>
          <w:i/>
          <w:iCs/>
          <w:sz w:val="22"/>
          <w:szCs w:val="22"/>
          <w:lang w:val="en-US" w:eastAsia="zh-CN"/>
        </w:rPr>
        <w:t>Sesbania</w:t>
      </w:r>
      <w:r>
        <w:rPr>
          <w:rFonts w:hint="default" w:ascii="Arial" w:hAnsi="Arial" w:cs="Arial"/>
          <w:sz w:val="22"/>
          <w:szCs w:val="22"/>
          <w:lang w:val="en-US" w:eastAsia="zh-CN"/>
        </w:rPr>
        <w:t xml:space="preserve"> gum samples by carboxymethylation to address their poor solubility. The results showed that after modification, the sample's water solubility and solution transparency were significantly improved. At the same thickening level, the modified </w:t>
      </w:r>
      <w:r>
        <w:rPr>
          <w:rFonts w:hint="default" w:ascii="Arial" w:hAnsi="Arial" w:cs="Arial"/>
          <w:i/>
          <w:iCs/>
          <w:sz w:val="22"/>
          <w:szCs w:val="22"/>
          <w:lang w:val="en-US" w:eastAsia="zh-CN"/>
        </w:rPr>
        <w:t>Sesbania</w:t>
      </w:r>
      <w:r>
        <w:rPr>
          <w:rFonts w:hint="default" w:ascii="Arial" w:hAnsi="Arial" w:cs="Arial"/>
          <w:sz w:val="22"/>
          <w:szCs w:val="22"/>
          <w:lang w:val="en-US" w:eastAsia="zh-CN"/>
        </w:rPr>
        <w:t xml:space="preserve"> gum exhibited superior lubrication and extensional properties.</w:t>
      </w:r>
    </w:p>
    <w:p w14:paraId="00CBF4EE">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bCs/>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10457"/>
    <w:rsid w:val="2992001E"/>
    <w:rsid w:val="2A1F7F6F"/>
    <w:rsid w:val="3D5847A6"/>
    <w:rsid w:val="677F48B7"/>
    <w:rsid w:val="6D78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189</Words>
  <Characters>1237</Characters>
  <Lines>0</Lines>
  <Paragraphs>0</Paragraphs>
  <TotalTime>3</TotalTime>
  <ScaleCrop>false</ScaleCrop>
  <LinksUpToDate>false</LinksUpToDate>
  <CharactersWithSpaces>1424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2024-07-25T11:33:00Z</dcterms:created>
  <dc:creator>Administrator</dc:creator>
  <cp:lastModifiedBy>Xiaojia</cp:lastModifiedBy>
  <dcterms:modified xsi:type="dcterms:W3CDTF">2024-12-30T12:42:55Z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BE1A1C79D20A48FDABE6E56BCA0948C3_12</vt:lpwstr>
  </property>
  <property fmtid="{D5CDD505-2E9C-101B-9397-08002B2CF9AE}" pid="4" name="KSOTemplateDocerSaveRecord">
    <vt:lpwstr>eyJoZGlkIjoiM2I2Mzg0MmNlYjVlNjZmYTkxYTIzMjg5M2NiMjQyZmQifQ==</vt:lpwstr>
  </property>
</Properties>
</file>