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FF05" w14:textId="04BB5499" w:rsidR="00DB7B87" w:rsidRPr="00394A08" w:rsidRDefault="00D83D83" w:rsidP="00DF30DF">
      <w:pPr>
        <w:ind w:left="0"/>
        <w:rPr>
          <w:rFonts w:ascii="Arial" w:hAnsi="Arial" w:cs="Arial"/>
          <w:b/>
          <w:bCs/>
          <w:sz w:val="32"/>
          <w:szCs w:val="32"/>
        </w:rPr>
      </w:pPr>
      <w:r w:rsidRPr="00394A08">
        <w:rPr>
          <w:rFonts w:ascii="Arial" w:hAnsi="Arial" w:cs="Arial"/>
          <w:b/>
          <w:bCs/>
          <w:sz w:val="32"/>
          <w:szCs w:val="32"/>
        </w:rPr>
        <w:t>Legume cells</w:t>
      </w:r>
      <w:r w:rsidR="006523FE" w:rsidRPr="00394A08">
        <w:rPr>
          <w:rFonts w:ascii="Arial" w:hAnsi="Arial" w:cs="Arial"/>
          <w:b/>
          <w:bCs/>
          <w:sz w:val="32"/>
          <w:szCs w:val="32"/>
        </w:rPr>
        <w:t xml:space="preserve">: </w:t>
      </w:r>
      <w:r w:rsidR="00722B7D" w:rsidRPr="00394A08">
        <w:rPr>
          <w:rFonts w:ascii="Arial" w:hAnsi="Arial" w:cs="Arial"/>
          <w:b/>
          <w:bCs/>
          <w:sz w:val="32"/>
          <w:szCs w:val="32"/>
        </w:rPr>
        <w:t>Exploiting their d</w:t>
      </w:r>
      <w:r w:rsidR="006523FE" w:rsidRPr="00394A08">
        <w:rPr>
          <w:rFonts w:ascii="Arial" w:hAnsi="Arial" w:cs="Arial"/>
          <w:b/>
          <w:bCs/>
          <w:sz w:val="32"/>
          <w:szCs w:val="32"/>
        </w:rPr>
        <w:t xml:space="preserve">igestive breakdown </w:t>
      </w:r>
      <w:r w:rsidR="00722B7D" w:rsidRPr="00394A08">
        <w:rPr>
          <w:rFonts w:ascii="Arial" w:hAnsi="Arial" w:cs="Arial"/>
          <w:b/>
          <w:bCs/>
          <w:sz w:val="32"/>
          <w:szCs w:val="32"/>
        </w:rPr>
        <w:t>for</w:t>
      </w:r>
      <w:r w:rsidR="006523FE" w:rsidRPr="00394A08">
        <w:rPr>
          <w:rFonts w:ascii="Arial" w:hAnsi="Arial" w:cs="Arial"/>
          <w:b/>
          <w:bCs/>
          <w:sz w:val="32"/>
          <w:szCs w:val="32"/>
        </w:rPr>
        <w:t xml:space="preserve"> healthier food</w:t>
      </w:r>
      <w:r w:rsidR="00394A08" w:rsidRPr="00394A08">
        <w:rPr>
          <w:rFonts w:ascii="Arial" w:hAnsi="Arial" w:cs="Arial"/>
          <w:b/>
          <w:bCs/>
          <w:sz w:val="32"/>
          <w:szCs w:val="32"/>
        </w:rPr>
        <w:t xml:space="preserve"> solutions</w:t>
      </w:r>
    </w:p>
    <w:p w14:paraId="73CB41EB" w14:textId="6AD784DD" w:rsidR="00394A08" w:rsidRPr="008162FE" w:rsidRDefault="00394A08" w:rsidP="00DF30DF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162FE">
        <w:rPr>
          <w:rFonts w:ascii="Times New Roman" w:hAnsi="Times New Roman" w:cs="Times New Roman"/>
          <w:sz w:val="24"/>
          <w:szCs w:val="24"/>
          <w:u w:val="single"/>
        </w:rPr>
        <w:t>Cathrina Edwards</w:t>
      </w:r>
      <w:r w:rsidR="006251A3" w:rsidRPr="008162F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FB5D74" w:rsidRPr="008162F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06B88" w:rsidRPr="008162FE">
        <w:rPr>
          <w:rFonts w:ascii="Times New Roman" w:hAnsi="Times New Roman" w:cs="Times New Roman"/>
          <w:sz w:val="24"/>
          <w:szCs w:val="24"/>
        </w:rPr>
        <w:t xml:space="preserve"> </w:t>
      </w:r>
      <w:r w:rsidR="00E34043" w:rsidRPr="008162FE">
        <w:rPr>
          <w:rFonts w:ascii="Times New Roman" w:hAnsi="Times New Roman" w:cs="Times New Roman"/>
          <w:sz w:val="24"/>
          <w:szCs w:val="24"/>
        </w:rPr>
        <w:t>Peter Ryden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4043" w:rsidRPr="008162FE">
        <w:rPr>
          <w:rFonts w:ascii="Times New Roman" w:hAnsi="Times New Roman" w:cs="Times New Roman"/>
          <w:sz w:val="24"/>
          <w:szCs w:val="24"/>
        </w:rPr>
        <w:t>, Natalia Perez-Moral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4043" w:rsidRPr="008162FE">
        <w:rPr>
          <w:rFonts w:ascii="Times New Roman" w:hAnsi="Times New Roman" w:cs="Times New Roman"/>
          <w:sz w:val="24"/>
          <w:szCs w:val="24"/>
        </w:rPr>
        <w:t>, Jennifer Ahn-Jarvis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4043" w:rsidRPr="008162FE">
        <w:rPr>
          <w:rFonts w:ascii="Times New Roman" w:hAnsi="Times New Roman" w:cs="Times New Roman"/>
          <w:sz w:val="24"/>
          <w:szCs w:val="24"/>
        </w:rPr>
        <w:t xml:space="preserve">, </w:t>
      </w:r>
      <w:r w:rsidR="008E67ED" w:rsidRPr="008162FE">
        <w:rPr>
          <w:rFonts w:ascii="Times New Roman" w:hAnsi="Times New Roman" w:cs="Times New Roman"/>
          <w:sz w:val="24"/>
          <w:szCs w:val="24"/>
        </w:rPr>
        <w:t>Balazs Bajka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67ED" w:rsidRPr="008162FE">
        <w:rPr>
          <w:rFonts w:ascii="Times New Roman" w:hAnsi="Times New Roman" w:cs="Times New Roman"/>
          <w:sz w:val="24"/>
          <w:szCs w:val="24"/>
        </w:rPr>
        <w:t>,</w:t>
      </w:r>
      <w:r w:rsidR="006C310E" w:rsidRPr="008162FE">
        <w:rPr>
          <w:rFonts w:ascii="Times New Roman" w:hAnsi="Times New Roman" w:cs="Times New Roman"/>
          <w:sz w:val="24"/>
          <w:szCs w:val="24"/>
        </w:rPr>
        <w:t xml:space="preserve"> Sarah Berry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310E" w:rsidRPr="008162FE">
        <w:rPr>
          <w:rFonts w:ascii="Times New Roman" w:hAnsi="Times New Roman" w:cs="Times New Roman"/>
          <w:sz w:val="24"/>
          <w:szCs w:val="24"/>
        </w:rPr>
        <w:t>, Peter Ellis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310E" w:rsidRPr="008162FE">
        <w:rPr>
          <w:rFonts w:ascii="Times New Roman" w:hAnsi="Times New Roman" w:cs="Times New Roman"/>
          <w:sz w:val="24"/>
          <w:szCs w:val="24"/>
        </w:rPr>
        <w:t>,</w:t>
      </w:r>
      <w:r w:rsidR="008E67ED" w:rsidRPr="008162FE">
        <w:rPr>
          <w:rFonts w:ascii="Times New Roman" w:hAnsi="Times New Roman" w:cs="Times New Roman"/>
          <w:sz w:val="24"/>
          <w:szCs w:val="24"/>
        </w:rPr>
        <w:t xml:space="preserve"> Mingzhu Cai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E67ED" w:rsidRPr="008162FE">
        <w:rPr>
          <w:rFonts w:ascii="Times New Roman" w:hAnsi="Times New Roman" w:cs="Times New Roman"/>
          <w:sz w:val="24"/>
          <w:szCs w:val="24"/>
        </w:rPr>
        <w:t>, Gary Frost</w:t>
      </w:r>
      <w:r w:rsidR="006251A3" w:rsidRPr="008162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06B88" w:rsidRPr="0081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F459406" w14:textId="610E50A4" w:rsidR="00434C4B" w:rsidRPr="008162FE" w:rsidRDefault="00FB5D74" w:rsidP="00DF30DF">
      <w:pPr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162F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4036F4" w:rsidRPr="008162FE">
        <w:rPr>
          <w:rFonts w:ascii="Times New Roman" w:hAnsi="Times New Roman" w:cs="Times New Roman"/>
          <w:i/>
          <w:iCs/>
          <w:sz w:val="24"/>
          <w:szCs w:val="24"/>
        </w:rPr>
        <w:t>Quadram Institute</w:t>
      </w:r>
      <w:r w:rsidR="00106B88" w:rsidRPr="008162FE">
        <w:rPr>
          <w:rFonts w:ascii="Times New Roman" w:hAnsi="Times New Roman" w:cs="Times New Roman"/>
          <w:i/>
          <w:iCs/>
          <w:sz w:val="24"/>
          <w:szCs w:val="24"/>
        </w:rPr>
        <w:t xml:space="preserve"> Bioscience</w:t>
      </w:r>
      <w:r w:rsidR="008E67ED" w:rsidRPr="008162FE">
        <w:rPr>
          <w:rFonts w:ascii="Times New Roman" w:hAnsi="Times New Roman" w:cs="Times New Roman"/>
          <w:i/>
          <w:iCs/>
          <w:sz w:val="24"/>
          <w:szCs w:val="24"/>
        </w:rPr>
        <w:t>, Norwich, UK</w:t>
      </w:r>
      <w:r w:rsidR="009C6E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6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62F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8162FE">
        <w:rPr>
          <w:rFonts w:ascii="Times New Roman" w:hAnsi="Times New Roman" w:cs="Times New Roman"/>
          <w:i/>
          <w:iCs/>
          <w:sz w:val="24"/>
          <w:szCs w:val="24"/>
        </w:rPr>
        <w:t>King’s College London, London, UK</w:t>
      </w:r>
      <w:r w:rsidR="009C6E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62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62F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434C4B" w:rsidRPr="008162FE">
        <w:rPr>
          <w:rFonts w:ascii="Times New Roman" w:hAnsi="Times New Roman" w:cs="Times New Roman"/>
          <w:i/>
          <w:iCs/>
          <w:sz w:val="24"/>
          <w:szCs w:val="24"/>
        </w:rPr>
        <w:t>Imperial College London, London, UK</w:t>
      </w:r>
      <w:r w:rsidRPr="008162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C7F530D" w14:textId="02445363" w:rsidR="00A47364" w:rsidRPr="004036F4" w:rsidRDefault="00085815" w:rsidP="00DF30D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Dietary</w:t>
      </w:r>
      <w:r w:rsidR="00E875DF" w:rsidRPr="004036F4">
        <w:rPr>
          <w:rFonts w:ascii="Arial" w:hAnsi="Arial" w:cs="Arial"/>
        </w:rPr>
        <w:t xml:space="preserve"> consumption of legumes such as b</w:t>
      </w:r>
      <w:r w:rsidR="00DB7539" w:rsidRPr="004036F4">
        <w:rPr>
          <w:rFonts w:ascii="Arial" w:hAnsi="Arial" w:cs="Arial"/>
        </w:rPr>
        <w:t>eans, chickpeas</w:t>
      </w:r>
      <w:r w:rsidR="00E875DF" w:rsidRPr="004036F4">
        <w:rPr>
          <w:rFonts w:ascii="Arial" w:hAnsi="Arial" w:cs="Arial"/>
        </w:rPr>
        <w:t xml:space="preserve">, lentils and peas </w:t>
      </w:r>
      <w:r w:rsidR="00147517" w:rsidRPr="004036F4">
        <w:rPr>
          <w:rFonts w:ascii="Arial" w:hAnsi="Arial" w:cs="Arial"/>
        </w:rPr>
        <w:t>has long been</w:t>
      </w:r>
      <w:r w:rsidR="00E875DF" w:rsidRPr="004036F4">
        <w:rPr>
          <w:rFonts w:ascii="Arial" w:hAnsi="Arial" w:cs="Arial"/>
        </w:rPr>
        <w:t xml:space="preserve"> associated with beneficial effects on human cardiometabolic health</w:t>
      </w:r>
      <w:r w:rsidR="0065576E">
        <w:rPr>
          <w:rFonts w:ascii="Arial" w:hAnsi="Arial" w:cs="Arial"/>
        </w:rPr>
        <w:t>. However,</w:t>
      </w:r>
      <w:r w:rsidR="003B612D" w:rsidRPr="004036F4">
        <w:rPr>
          <w:rFonts w:ascii="Arial" w:hAnsi="Arial" w:cs="Arial"/>
        </w:rPr>
        <w:t xml:space="preserve"> </w:t>
      </w:r>
      <w:r w:rsidR="0065576E">
        <w:rPr>
          <w:rFonts w:ascii="Arial" w:hAnsi="Arial" w:cs="Arial"/>
        </w:rPr>
        <w:t xml:space="preserve">legumes </w:t>
      </w:r>
      <w:r w:rsidR="00545BAE">
        <w:rPr>
          <w:rFonts w:ascii="Arial" w:hAnsi="Arial" w:cs="Arial"/>
        </w:rPr>
        <w:t xml:space="preserve">have traditionally </w:t>
      </w:r>
      <w:r w:rsidR="0065576E">
        <w:rPr>
          <w:rFonts w:ascii="Arial" w:hAnsi="Arial" w:cs="Arial"/>
        </w:rPr>
        <w:t xml:space="preserve">mainly </w:t>
      </w:r>
      <w:r w:rsidR="00545BAE">
        <w:rPr>
          <w:rFonts w:ascii="Arial" w:hAnsi="Arial" w:cs="Arial"/>
        </w:rPr>
        <w:t xml:space="preserve">been consumed </w:t>
      </w:r>
      <w:r w:rsidR="00863FD2">
        <w:rPr>
          <w:rFonts w:ascii="Arial" w:hAnsi="Arial" w:cs="Arial"/>
        </w:rPr>
        <w:t>as whole seeds</w:t>
      </w:r>
      <w:r w:rsidR="002015DA">
        <w:rPr>
          <w:rFonts w:ascii="Arial" w:hAnsi="Arial" w:cs="Arial"/>
        </w:rPr>
        <w:t>, which have limited appeal to modern consumers.</w:t>
      </w:r>
      <w:r w:rsidR="003B612D" w:rsidRPr="004036F4">
        <w:rPr>
          <w:rFonts w:ascii="Arial" w:hAnsi="Arial" w:cs="Arial"/>
        </w:rPr>
        <w:t xml:space="preserve"> </w:t>
      </w:r>
      <w:r w:rsidR="009B5120" w:rsidRPr="004036F4">
        <w:rPr>
          <w:rFonts w:ascii="Arial" w:hAnsi="Arial" w:cs="Arial"/>
        </w:rPr>
        <w:t xml:space="preserve">How can we ensure that </w:t>
      </w:r>
      <w:r w:rsidR="00533D00">
        <w:rPr>
          <w:rFonts w:ascii="Arial" w:hAnsi="Arial" w:cs="Arial"/>
        </w:rPr>
        <w:t xml:space="preserve">the </w:t>
      </w:r>
      <w:r w:rsidR="009B5120" w:rsidRPr="004036F4">
        <w:rPr>
          <w:rFonts w:ascii="Arial" w:hAnsi="Arial" w:cs="Arial"/>
        </w:rPr>
        <w:t xml:space="preserve">nutritional quality and health benefits </w:t>
      </w:r>
      <w:r w:rsidR="009B5120">
        <w:rPr>
          <w:rFonts w:ascii="Arial" w:hAnsi="Arial" w:cs="Arial"/>
        </w:rPr>
        <w:t xml:space="preserve">of legumes </w:t>
      </w:r>
      <w:r w:rsidR="009B5120" w:rsidRPr="004036F4">
        <w:rPr>
          <w:rFonts w:ascii="Arial" w:hAnsi="Arial" w:cs="Arial"/>
        </w:rPr>
        <w:t xml:space="preserve">are </w:t>
      </w:r>
      <w:r w:rsidR="009B5120">
        <w:rPr>
          <w:rFonts w:ascii="Arial" w:hAnsi="Arial" w:cs="Arial"/>
        </w:rPr>
        <w:t>preserved as these crops are transformed into processed convenience foods?</w:t>
      </w:r>
      <w:r w:rsidR="009B5120">
        <w:rPr>
          <w:rFonts w:ascii="Arial" w:hAnsi="Arial" w:cs="Arial"/>
        </w:rPr>
        <w:t xml:space="preserve"> </w:t>
      </w:r>
      <w:r w:rsidR="00E02CC5">
        <w:rPr>
          <w:rFonts w:ascii="Arial" w:hAnsi="Arial" w:cs="Arial"/>
        </w:rPr>
        <w:t>Understanding the mechanisms underpinning the</w:t>
      </w:r>
      <w:r w:rsidR="00533D00">
        <w:rPr>
          <w:rFonts w:ascii="Arial" w:hAnsi="Arial" w:cs="Arial"/>
        </w:rPr>
        <w:t xml:space="preserve"> </w:t>
      </w:r>
      <w:r w:rsidR="00E02CC5">
        <w:rPr>
          <w:rFonts w:ascii="Arial" w:hAnsi="Arial" w:cs="Arial"/>
        </w:rPr>
        <w:t xml:space="preserve">health </w:t>
      </w:r>
      <w:r w:rsidR="00533D00">
        <w:rPr>
          <w:rFonts w:ascii="Arial" w:hAnsi="Arial" w:cs="Arial"/>
        </w:rPr>
        <w:t>benefits of whole legume consumption</w:t>
      </w:r>
      <w:r w:rsidR="009B5120">
        <w:rPr>
          <w:rFonts w:ascii="Arial" w:hAnsi="Arial" w:cs="Arial"/>
        </w:rPr>
        <w:t xml:space="preserve"> is important to ensure that their nutritional potential is preserved into end-products.</w:t>
      </w:r>
    </w:p>
    <w:p w14:paraId="72A439C8" w14:textId="02551EE9" w:rsidR="004A2FA4" w:rsidRDefault="00A47364" w:rsidP="00DF30DF">
      <w:pPr>
        <w:ind w:left="0"/>
        <w:rPr>
          <w:rFonts w:ascii="Arial" w:hAnsi="Arial" w:cs="Arial"/>
        </w:rPr>
      </w:pPr>
      <w:r w:rsidRPr="004036F4">
        <w:rPr>
          <w:rFonts w:ascii="Arial" w:hAnsi="Arial" w:cs="Arial"/>
        </w:rPr>
        <w:t>Whole cooked legumes are comprised of intact cotyledon cells</w:t>
      </w:r>
      <w:r w:rsidR="00C74A25" w:rsidRPr="004036F4">
        <w:rPr>
          <w:rFonts w:ascii="Arial" w:hAnsi="Arial" w:cs="Arial"/>
        </w:rPr>
        <w:t xml:space="preserve">, </w:t>
      </w:r>
      <w:r w:rsidR="00D64751">
        <w:rPr>
          <w:rFonts w:ascii="Arial" w:hAnsi="Arial" w:cs="Arial"/>
        </w:rPr>
        <w:t xml:space="preserve">in which the </w:t>
      </w:r>
      <w:r w:rsidR="00C74A25" w:rsidRPr="004036F4">
        <w:rPr>
          <w:rFonts w:ascii="Arial" w:hAnsi="Arial" w:cs="Arial"/>
        </w:rPr>
        <w:t xml:space="preserve">plant cell wall </w:t>
      </w:r>
      <w:r w:rsidR="00EF231E">
        <w:rPr>
          <w:rFonts w:ascii="Arial" w:hAnsi="Arial" w:cs="Arial"/>
        </w:rPr>
        <w:t>-</w:t>
      </w:r>
      <w:r w:rsidR="00C74A25" w:rsidRPr="004036F4">
        <w:rPr>
          <w:rFonts w:ascii="Arial" w:hAnsi="Arial" w:cs="Arial"/>
        </w:rPr>
        <w:t xml:space="preserve">a complex </w:t>
      </w:r>
      <w:r w:rsidR="0009074B" w:rsidRPr="004036F4">
        <w:rPr>
          <w:rFonts w:ascii="Arial" w:hAnsi="Arial" w:cs="Arial"/>
        </w:rPr>
        <w:t>network of polysaccharides</w:t>
      </w:r>
      <w:r w:rsidR="00EF231E">
        <w:rPr>
          <w:rFonts w:ascii="Arial" w:hAnsi="Arial" w:cs="Arial"/>
        </w:rPr>
        <w:t>,</w:t>
      </w:r>
      <w:r w:rsidR="00D64751">
        <w:rPr>
          <w:rFonts w:ascii="Arial" w:hAnsi="Arial" w:cs="Arial"/>
        </w:rPr>
        <w:t xml:space="preserve"> </w:t>
      </w:r>
      <w:r w:rsidR="0009074B" w:rsidRPr="004036F4">
        <w:rPr>
          <w:rFonts w:ascii="Arial" w:hAnsi="Arial" w:cs="Arial"/>
        </w:rPr>
        <w:t>encapsulate</w:t>
      </w:r>
      <w:r w:rsidR="00D64751">
        <w:rPr>
          <w:rFonts w:ascii="Arial" w:hAnsi="Arial" w:cs="Arial"/>
        </w:rPr>
        <w:t>s</w:t>
      </w:r>
      <w:r w:rsidR="0009074B" w:rsidRPr="004036F4">
        <w:rPr>
          <w:rFonts w:ascii="Arial" w:hAnsi="Arial" w:cs="Arial"/>
        </w:rPr>
        <w:t xml:space="preserve"> </w:t>
      </w:r>
      <w:r w:rsidR="00FF2700">
        <w:rPr>
          <w:rFonts w:ascii="Arial" w:hAnsi="Arial" w:cs="Arial"/>
        </w:rPr>
        <w:t xml:space="preserve">cytoplasmic </w:t>
      </w:r>
      <w:r w:rsidR="00D64751">
        <w:rPr>
          <w:rFonts w:ascii="Arial" w:hAnsi="Arial" w:cs="Arial"/>
        </w:rPr>
        <w:t>nutrients</w:t>
      </w:r>
      <w:r w:rsidR="00A23024">
        <w:rPr>
          <w:rFonts w:ascii="Arial" w:hAnsi="Arial" w:cs="Arial"/>
        </w:rPr>
        <w:t xml:space="preserve"> such as starch and protein. </w:t>
      </w:r>
      <w:r w:rsidR="00833CB1">
        <w:rPr>
          <w:rFonts w:ascii="Arial" w:hAnsi="Arial" w:cs="Arial"/>
        </w:rPr>
        <w:t>Plant cell wall</w:t>
      </w:r>
      <w:r w:rsidR="00D31303">
        <w:rPr>
          <w:rFonts w:ascii="Arial" w:hAnsi="Arial" w:cs="Arial"/>
        </w:rPr>
        <w:t xml:space="preserve">s are resistant to mammalian enzymes of the human upper-gastrointestinal </w:t>
      </w:r>
      <w:r w:rsidR="00AF49E5">
        <w:rPr>
          <w:rFonts w:ascii="Arial" w:hAnsi="Arial" w:cs="Arial"/>
        </w:rPr>
        <w:t>tract and</w:t>
      </w:r>
      <w:r w:rsidR="00D31303">
        <w:rPr>
          <w:rFonts w:ascii="Arial" w:hAnsi="Arial" w:cs="Arial"/>
        </w:rPr>
        <w:t xml:space="preserve"> </w:t>
      </w:r>
      <w:r w:rsidR="00873FC2">
        <w:rPr>
          <w:rFonts w:ascii="Arial" w:hAnsi="Arial" w:cs="Arial"/>
        </w:rPr>
        <w:t xml:space="preserve">can thereby </w:t>
      </w:r>
      <w:r w:rsidR="00833CB1">
        <w:rPr>
          <w:rFonts w:ascii="Arial" w:hAnsi="Arial" w:cs="Arial"/>
        </w:rPr>
        <w:t>regulat</w:t>
      </w:r>
      <w:r w:rsidR="00873FC2">
        <w:rPr>
          <w:rFonts w:ascii="Arial" w:hAnsi="Arial" w:cs="Arial"/>
        </w:rPr>
        <w:t>e</w:t>
      </w:r>
      <w:r w:rsidR="00833CB1">
        <w:rPr>
          <w:rFonts w:ascii="Arial" w:hAnsi="Arial" w:cs="Arial"/>
        </w:rPr>
        <w:t xml:space="preserve"> the digestion and absorption of</w:t>
      </w:r>
      <w:r w:rsidR="007F0BF7">
        <w:rPr>
          <w:rFonts w:ascii="Arial" w:hAnsi="Arial" w:cs="Arial"/>
        </w:rPr>
        <w:t xml:space="preserve"> </w:t>
      </w:r>
      <w:r w:rsidR="00AF49E5">
        <w:rPr>
          <w:rFonts w:ascii="Arial" w:hAnsi="Arial" w:cs="Arial"/>
        </w:rPr>
        <w:t xml:space="preserve">intracellular </w:t>
      </w:r>
      <w:r w:rsidR="007F0BF7">
        <w:rPr>
          <w:rFonts w:ascii="Arial" w:hAnsi="Arial" w:cs="Arial"/>
        </w:rPr>
        <w:t xml:space="preserve">nutrients from </w:t>
      </w:r>
      <w:proofErr w:type="gramStart"/>
      <w:r w:rsidR="007F0BF7">
        <w:rPr>
          <w:rFonts w:ascii="Arial" w:hAnsi="Arial" w:cs="Arial"/>
        </w:rPr>
        <w:t>legumes</w:t>
      </w:r>
      <w:r w:rsidR="00684937" w:rsidRPr="00684937">
        <w:rPr>
          <w:rFonts w:ascii="Arial" w:hAnsi="Arial" w:cs="Arial"/>
          <w:vertAlign w:val="superscript"/>
        </w:rPr>
        <w:t>[</w:t>
      </w:r>
      <w:proofErr w:type="gramEnd"/>
      <w:r w:rsidR="00F70CB3">
        <w:rPr>
          <w:rFonts w:ascii="Arial" w:hAnsi="Arial" w:cs="Arial"/>
          <w:vertAlign w:val="superscript"/>
        </w:rPr>
        <w:t>1</w:t>
      </w:r>
      <w:r w:rsidR="00684937" w:rsidRPr="00684937">
        <w:rPr>
          <w:rFonts w:ascii="Arial" w:hAnsi="Arial" w:cs="Arial"/>
          <w:vertAlign w:val="superscript"/>
        </w:rPr>
        <w:t>]</w:t>
      </w:r>
      <w:r w:rsidR="007F0BF7">
        <w:rPr>
          <w:rFonts w:ascii="Arial" w:hAnsi="Arial" w:cs="Arial"/>
        </w:rPr>
        <w:t>.</w:t>
      </w:r>
      <w:r w:rsidR="00124A48" w:rsidRPr="00124A48">
        <w:rPr>
          <w:rFonts w:ascii="Arial" w:hAnsi="Arial" w:cs="Arial"/>
        </w:rPr>
        <w:t xml:space="preserve"> </w:t>
      </w:r>
      <w:r w:rsidR="00B128E1">
        <w:rPr>
          <w:rFonts w:ascii="Arial" w:hAnsi="Arial" w:cs="Arial"/>
        </w:rPr>
        <w:t>As legumes are increasingly consumed as processed food products, there is a need to understand the effects of processing on cell s</w:t>
      </w:r>
      <w:r w:rsidR="003D1D2D">
        <w:rPr>
          <w:rFonts w:ascii="Arial" w:hAnsi="Arial" w:cs="Arial"/>
        </w:rPr>
        <w:t>tructure and its consequences for nutrient bioaccessibility.</w:t>
      </w:r>
    </w:p>
    <w:p w14:paraId="4A088E37" w14:textId="6466183F" w:rsidR="00E652ED" w:rsidRPr="009518EF" w:rsidRDefault="00594741" w:rsidP="00DF30DF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We have recently investigated the</w:t>
      </w:r>
      <w:r w:rsidR="00686EF6">
        <w:rPr>
          <w:rFonts w:ascii="Arial" w:hAnsi="Arial" w:cs="Arial"/>
        </w:rPr>
        <w:t xml:space="preserve"> digestive breakdown of </w:t>
      </w:r>
      <w:r w:rsidR="00BB432E">
        <w:rPr>
          <w:rFonts w:ascii="Arial" w:hAnsi="Arial" w:cs="Arial"/>
        </w:rPr>
        <w:t>chickpea meals with different degree</w:t>
      </w:r>
      <w:r>
        <w:rPr>
          <w:rFonts w:ascii="Arial" w:hAnsi="Arial" w:cs="Arial"/>
        </w:rPr>
        <w:t>s</w:t>
      </w:r>
      <w:r w:rsidR="00BB432E">
        <w:rPr>
          <w:rFonts w:ascii="Arial" w:hAnsi="Arial" w:cs="Arial"/>
        </w:rPr>
        <w:t xml:space="preserve"> of </w:t>
      </w:r>
      <w:r w:rsidR="00124A48">
        <w:rPr>
          <w:rFonts w:ascii="Arial" w:hAnsi="Arial" w:cs="Arial"/>
        </w:rPr>
        <w:t xml:space="preserve">plant </w:t>
      </w:r>
      <w:r w:rsidR="00BB432E">
        <w:rPr>
          <w:rFonts w:ascii="Arial" w:hAnsi="Arial" w:cs="Arial"/>
        </w:rPr>
        <w:t>cellular intactness</w:t>
      </w:r>
      <w:r w:rsidR="0047349F">
        <w:rPr>
          <w:rFonts w:ascii="Arial" w:hAnsi="Arial" w:cs="Arial"/>
        </w:rPr>
        <w:t xml:space="preserve"> through the human gastrointestinal tract</w:t>
      </w:r>
      <w:r w:rsidR="00122FB5">
        <w:rPr>
          <w:rFonts w:ascii="Arial" w:hAnsi="Arial" w:cs="Arial"/>
        </w:rPr>
        <w:t>.</w:t>
      </w:r>
      <w:r w:rsidR="0047349F">
        <w:rPr>
          <w:rFonts w:ascii="Arial" w:hAnsi="Arial" w:cs="Arial"/>
        </w:rPr>
        <w:t xml:space="preserve"> </w:t>
      </w:r>
      <w:r w:rsidR="00806568">
        <w:rPr>
          <w:rFonts w:ascii="Arial" w:hAnsi="Arial" w:cs="Arial"/>
        </w:rPr>
        <w:t xml:space="preserve">Differences in meal </w:t>
      </w:r>
      <w:r w:rsidR="00AA7CBA">
        <w:rPr>
          <w:rFonts w:ascii="Arial" w:hAnsi="Arial" w:cs="Arial"/>
        </w:rPr>
        <w:t>structure were consistently found to alter nutrient bioaccessibility, impacting on the human</w:t>
      </w:r>
      <w:r w:rsidR="00806568">
        <w:rPr>
          <w:rFonts w:ascii="Arial" w:hAnsi="Arial" w:cs="Arial"/>
        </w:rPr>
        <w:t xml:space="preserve"> intestinal contents </w:t>
      </w:r>
      <w:r w:rsidR="00017FD4">
        <w:rPr>
          <w:rFonts w:ascii="Arial" w:hAnsi="Arial" w:cs="Arial"/>
        </w:rPr>
        <w:t xml:space="preserve">with direct effects on post-prandial glycaemia and gut hormone </w:t>
      </w:r>
      <w:proofErr w:type="gramStart"/>
      <w:r w:rsidR="00017FD4">
        <w:rPr>
          <w:rFonts w:ascii="Arial" w:hAnsi="Arial" w:cs="Arial"/>
        </w:rPr>
        <w:t>responses</w:t>
      </w:r>
      <w:r w:rsidR="006E1FB3" w:rsidRPr="00232749">
        <w:rPr>
          <w:rFonts w:ascii="Arial" w:hAnsi="Arial" w:cs="Arial"/>
          <w:vertAlign w:val="superscript"/>
        </w:rPr>
        <w:t>[</w:t>
      </w:r>
      <w:proofErr w:type="gramEnd"/>
      <w:r w:rsidR="009518EF">
        <w:rPr>
          <w:rFonts w:ascii="Arial" w:hAnsi="Arial" w:cs="Arial"/>
          <w:vertAlign w:val="superscript"/>
        </w:rPr>
        <w:t>2</w:t>
      </w:r>
      <w:r w:rsidR="00E56EFF" w:rsidRPr="00232749">
        <w:rPr>
          <w:rFonts w:ascii="Arial" w:hAnsi="Arial" w:cs="Arial"/>
          <w:vertAlign w:val="superscript"/>
        </w:rPr>
        <w:t>]</w:t>
      </w:r>
      <w:r w:rsidR="009518EF">
        <w:rPr>
          <w:rFonts w:ascii="Arial" w:hAnsi="Arial" w:cs="Arial"/>
        </w:rPr>
        <w:t>.</w:t>
      </w:r>
    </w:p>
    <w:p w14:paraId="6A4D9B50" w14:textId="55FDF82B" w:rsidR="006E1FB3" w:rsidRPr="00B03E29" w:rsidRDefault="00AA7CBA" w:rsidP="00B03E29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Recent findings</w:t>
      </w:r>
      <w:r w:rsidR="00232749">
        <w:rPr>
          <w:rFonts w:ascii="Arial" w:hAnsi="Arial" w:cs="Arial"/>
        </w:rPr>
        <w:t xml:space="preserve"> highlight</w:t>
      </w:r>
      <w:r w:rsidR="003D6009">
        <w:rPr>
          <w:rFonts w:ascii="Arial" w:hAnsi="Arial" w:cs="Arial"/>
        </w:rPr>
        <w:t xml:space="preserve"> th</w:t>
      </w:r>
      <w:r w:rsidR="008307B7">
        <w:rPr>
          <w:rFonts w:ascii="Arial" w:hAnsi="Arial" w:cs="Arial"/>
        </w:rPr>
        <w:t xml:space="preserve">e value of preserving natural legume cotyledon </w:t>
      </w:r>
      <w:r>
        <w:rPr>
          <w:rFonts w:ascii="Arial" w:hAnsi="Arial" w:cs="Arial"/>
        </w:rPr>
        <w:t xml:space="preserve">cell </w:t>
      </w:r>
      <w:r w:rsidR="008307B7">
        <w:rPr>
          <w:rFonts w:ascii="Arial" w:hAnsi="Arial" w:cs="Arial"/>
        </w:rPr>
        <w:t>structures into</w:t>
      </w:r>
      <w:r w:rsidR="00C206C8" w:rsidRPr="004036F4">
        <w:rPr>
          <w:rFonts w:ascii="Arial" w:hAnsi="Arial" w:cs="Arial"/>
        </w:rPr>
        <w:t xml:space="preserve"> </w:t>
      </w:r>
      <w:r w:rsidR="0023661C">
        <w:rPr>
          <w:rFonts w:ascii="Arial" w:hAnsi="Arial" w:cs="Arial"/>
        </w:rPr>
        <w:t xml:space="preserve">processed </w:t>
      </w:r>
      <w:r w:rsidR="00C206C8" w:rsidRPr="004036F4">
        <w:rPr>
          <w:rFonts w:ascii="Arial" w:hAnsi="Arial" w:cs="Arial"/>
        </w:rPr>
        <w:t>food</w:t>
      </w:r>
      <w:r w:rsidR="008307B7">
        <w:rPr>
          <w:rFonts w:ascii="Arial" w:hAnsi="Arial" w:cs="Arial"/>
        </w:rPr>
        <w:t xml:space="preserve"> products to support consumer health.</w:t>
      </w:r>
      <w:r w:rsidR="00FB397F">
        <w:rPr>
          <w:rFonts w:ascii="Arial" w:hAnsi="Arial" w:cs="Arial"/>
        </w:rPr>
        <w:t xml:space="preserve"> PulseON </w:t>
      </w:r>
      <w:r w:rsidR="00FF1DCF">
        <w:rPr>
          <w:rFonts w:ascii="Arial" w:hAnsi="Arial" w:cs="Arial"/>
        </w:rPr>
        <w:t>(</w:t>
      </w:r>
      <w:proofErr w:type="spellStart"/>
      <w:r w:rsidR="00FF1DCF">
        <w:rPr>
          <w:rFonts w:ascii="Arial" w:hAnsi="Arial" w:cs="Arial"/>
        </w:rPr>
        <w:t>PulseOn</w:t>
      </w:r>
      <w:proofErr w:type="spellEnd"/>
      <w:r w:rsidR="00FF1DCF">
        <w:rPr>
          <w:rFonts w:ascii="Arial" w:hAnsi="Arial" w:cs="Arial"/>
        </w:rPr>
        <w:t xml:space="preserve"> Food Ingredients Ltd) </w:t>
      </w:r>
      <w:r w:rsidR="00FB397F">
        <w:rPr>
          <w:rFonts w:ascii="Arial" w:hAnsi="Arial" w:cs="Arial"/>
        </w:rPr>
        <w:t xml:space="preserve">is an example of a whole cell legume flour that has been developed for </w:t>
      </w:r>
      <w:r w:rsidR="00FF1DCF">
        <w:rPr>
          <w:rFonts w:ascii="Arial" w:hAnsi="Arial" w:cs="Arial"/>
        </w:rPr>
        <w:t>such applications</w:t>
      </w:r>
      <w:r w:rsidR="0084491E">
        <w:rPr>
          <w:rFonts w:ascii="Arial" w:hAnsi="Arial" w:cs="Arial"/>
        </w:rPr>
        <w:t>, and has been studie</w:t>
      </w:r>
      <w:r w:rsidR="00E52848">
        <w:rPr>
          <w:rFonts w:ascii="Arial" w:hAnsi="Arial" w:cs="Arial"/>
        </w:rPr>
        <w:t>d</w:t>
      </w:r>
      <w:r w:rsidR="0084491E">
        <w:rPr>
          <w:rFonts w:ascii="Arial" w:hAnsi="Arial" w:cs="Arial"/>
        </w:rPr>
        <w:t xml:space="preserve"> in terms of </w:t>
      </w:r>
      <w:r w:rsidR="0084491E" w:rsidRPr="004036F4">
        <w:rPr>
          <w:rFonts w:ascii="Arial" w:hAnsi="Arial" w:cs="Arial"/>
        </w:rPr>
        <w:t>ingredient properties</w:t>
      </w:r>
      <w:r w:rsidR="00DB1E91">
        <w:rPr>
          <w:rFonts w:ascii="Arial" w:hAnsi="Arial" w:cs="Arial"/>
        </w:rPr>
        <w:t xml:space="preserve"> </w:t>
      </w:r>
      <w:r w:rsidR="00DB1E91" w:rsidRPr="00DB1E91">
        <w:rPr>
          <w:rFonts w:ascii="Arial" w:hAnsi="Arial" w:cs="Arial"/>
          <w:vertAlign w:val="superscript"/>
        </w:rPr>
        <w:t>[</w:t>
      </w:r>
      <w:r w:rsidR="009518EF">
        <w:rPr>
          <w:rFonts w:ascii="Arial" w:hAnsi="Arial" w:cs="Arial"/>
          <w:vertAlign w:val="superscript"/>
        </w:rPr>
        <w:t>3</w:t>
      </w:r>
      <w:r w:rsidR="00DB1E91" w:rsidRPr="00DB1E91">
        <w:rPr>
          <w:rFonts w:ascii="Arial" w:hAnsi="Arial" w:cs="Arial"/>
          <w:vertAlign w:val="superscript"/>
        </w:rPr>
        <w:t>]</w:t>
      </w:r>
      <w:r w:rsidR="0084491E" w:rsidRPr="00DB1E91">
        <w:rPr>
          <w:rFonts w:ascii="Arial" w:hAnsi="Arial" w:cs="Arial"/>
          <w:vertAlign w:val="superscript"/>
        </w:rPr>
        <w:t>,</w:t>
      </w:r>
      <w:r w:rsidR="0084491E" w:rsidRPr="004036F4">
        <w:rPr>
          <w:rFonts w:ascii="Arial" w:hAnsi="Arial" w:cs="Arial"/>
        </w:rPr>
        <w:t xml:space="preserve"> </w:t>
      </w:r>
      <w:r w:rsidR="0084491E">
        <w:rPr>
          <w:rFonts w:ascii="Arial" w:hAnsi="Arial" w:cs="Arial"/>
        </w:rPr>
        <w:t>end-</w:t>
      </w:r>
      <w:r w:rsidR="0084491E" w:rsidRPr="004036F4">
        <w:rPr>
          <w:rFonts w:ascii="Arial" w:hAnsi="Arial" w:cs="Arial"/>
        </w:rPr>
        <w:t xml:space="preserve">product </w:t>
      </w:r>
      <w:proofErr w:type="gramStart"/>
      <w:r w:rsidR="0084491E" w:rsidRPr="004036F4">
        <w:rPr>
          <w:rFonts w:ascii="Arial" w:hAnsi="Arial" w:cs="Arial"/>
        </w:rPr>
        <w:t>compatibility</w:t>
      </w:r>
      <w:r w:rsidR="00DB1E91" w:rsidRPr="00DB1E91">
        <w:rPr>
          <w:rFonts w:ascii="Arial" w:hAnsi="Arial" w:cs="Arial"/>
          <w:vertAlign w:val="superscript"/>
        </w:rPr>
        <w:t>[</w:t>
      </w:r>
      <w:proofErr w:type="gramEnd"/>
      <w:r w:rsidR="009518EF">
        <w:rPr>
          <w:rFonts w:ascii="Arial" w:hAnsi="Arial" w:cs="Arial"/>
          <w:vertAlign w:val="superscript"/>
        </w:rPr>
        <w:t>4</w:t>
      </w:r>
      <w:r w:rsidR="00DB1E91" w:rsidRPr="00DB1E91">
        <w:rPr>
          <w:rFonts w:ascii="Arial" w:hAnsi="Arial" w:cs="Arial"/>
          <w:vertAlign w:val="superscript"/>
        </w:rPr>
        <w:t>]</w:t>
      </w:r>
      <w:r w:rsidR="0084491E">
        <w:rPr>
          <w:rFonts w:ascii="Arial" w:hAnsi="Arial" w:cs="Arial"/>
        </w:rPr>
        <w:t xml:space="preserve">, </w:t>
      </w:r>
      <w:r w:rsidR="0084491E" w:rsidRPr="004036F4">
        <w:rPr>
          <w:rFonts w:ascii="Arial" w:hAnsi="Arial" w:cs="Arial"/>
        </w:rPr>
        <w:t>through to clinical trials</w:t>
      </w:r>
      <w:r w:rsidR="00DB1E91" w:rsidRPr="00DB1E91">
        <w:rPr>
          <w:rFonts w:ascii="Arial" w:hAnsi="Arial" w:cs="Arial"/>
          <w:vertAlign w:val="superscript"/>
        </w:rPr>
        <w:t>[</w:t>
      </w:r>
      <w:r w:rsidR="009518EF">
        <w:rPr>
          <w:rFonts w:ascii="Arial" w:hAnsi="Arial" w:cs="Arial"/>
          <w:vertAlign w:val="superscript"/>
        </w:rPr>
        <w:t>5</w:t>
      </w:r>
      <w:r w:rsidR="00DB1E91" w:rsidRPr="00DB1E91">
        <w:rPr>
          <w:rFonts w:ascii="Arial" w:hAnsi="Arial" w:cs="Arial"/>
          <w:vertAlign w:val="superscript"/>
        </w:rPr>
        <w:t>]</w:t>
      </w:r>
      <w:r w:rsidR="00FB397F">
        <w:rPr>
          <w:rFonts w:ascii="Arial" w:hAnsi="Arial" w:cs="Arial"/>
        </w:rPr>
        <w:t xml:space="preserve">.  </w:t>
      </w:r>
    </w:p>
    <w:p w14:paraId="1D9E9EE5" w14:textId="68CA9909" w:rsidR="00D1062F" w:rsidRPr="007F5FD5" w:rsidRDefault="004036F4" w:rsidP="00324137">
      <w:pPr>
        <w:ind w:left="0"/>
        <w:rPr>
          <w:rFonts w:ascii="Arial" w:hAnsi="Arial" w:cs="Arial"/>
          <w:b/>
          <w:bCs/>
          <w:sz w:val="20"/>
          <w:szCs w:val="20"/>
        </w:rPr>
      </w:pPr>
      <w:r w:rsidRPr="007F5FD5">
        <w:rPr>
          <w:rFonts w:ascii="Arial" w:hAnsi="Arial" w:cs="Arial"/>
          <w:b/>
          <w:bCs/>
          <w:sz w:val="20"/>
          <w:szCs w:val="20"/>
        </w:rPr>
        <w:t>References</w:t>
      </w:r>
    </w:p>
    <w:p w14:paraId="36E95280" w14:textId="499FE83F" w:rsidR="0051343B" w:rsidRPr="007F5FD5" w:rsidRDefault="00F70CB3" w:rsidP="00F9029C">
      <w:pPr>
        <w:spacing w:after="0"/>
        <w:ind w:left="0"/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[1] </w:t>
      </w:r>
      <w:r w:rsidR="00684937" w:rsidRPr="007F5FD5">
        <w:rPr>
          <w:rFonts w:ascii="Arial" w:hAnsi="Arial" w:cs="Arial"/>
          <w:color w:val="000000" w:themeColor="text1"/>
          <w:sz w:val="20"/>
          <w:szCs w:val="20"/>
        </w:rPr>
        <w:t xml:space="preserve">Holland C, Ryden P, Edwards CH, Grundy MML. (2020). Plant cell walls: impact on nutrient bioaccessibility and digestibility. </w:t>
      </w:r>
      <w:r w:rsidR="00684937" w:rsidRPr="007F5FD5">
        <w:rPr>
          <w:rFonts w:ascii="Arial" w:hAnsi="Arial" w:cs="Arial"/>
          <w:i/>
          <w:color w:val="000000" w:themeColor="text1"/>
          <w:sz w:val="20"/>
          <w:szCs w:val="20"/>
        </w:rPr>
        <w:t xml:space="preserve">Foods 9(2), 201. </w:t>
      </w:r>
      <w:hyperlink r:id="rId5" w:history="1">
        <w:r w:rsidR="00684937" w:rsidRPr="007F5FD5">
          <w:rPr>
            <w:rStyle w:val="Hyperlink"/>
            <w:rFonts w:ascii="Arial" w:hAnsi="Arial" w:cs="Arial"/>
            <w:sz w:val="20"/>
            <w:szCs w:val="20"/>
          </w:rPr>
          <w:t>https://doi.org/10.3390/foods9020201</w:t>
        </w:r>
      </w:hyperlink>
      <w:r w:rsidR="00684937" w:rsidRPr="007F5FD5">
        <w:rPr>
          <w:rFonts w:ascii="Arial" w:hAnsi="Arial" w:cs="Arial"/>
          <w:sz w:val="20"/>
          <w:szCs w:val="20"/>
        </w:rPr>
        <w:t xml:space="preserve"> </w:t>
      </w:r>
      <w:r w:rsidR="00684937" w:rsidRPr="007F5FD5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4937" w:rsidRPr="007F5FD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4AAB11B0" w14:textId="77777777" w:rsidR="00F9029C" w:rsidRPr="007F5FD5" w:rsidRDefault="00F9029C" w:rsidP="00F9029C">
      <w:pPr>
        <w:spacing w:after="0"/>
        <w:ind w:left="0"/>
        <w:jc w:val="left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B43BDF2" w14:textId="7D0C3D62" w:rsidR="00324137" w:rsidRPr="007F5FD5" w:rsidRDefault="00F70CB3" w:rsidP="0051343B">
      <w:pPr>
        <w:pStyle w:val="Body"/>
        <w:suppressLineNumbers/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[2] </w:t>
      </w:r>
      <w:r w:rsidR="0051343B" w:rsidRPr="007F5FD5">
        <w:rPr>
          <w:rFonts w:ascii="Arial" w:hAnsi="Arial" w:cs="Arial"/>
          <w:color w:val="auto"/>
          <w:sz w:val="20"/>
          <w:szCs w:val="20"/>
        </w:rPr>
        <w:t>Frost</w:t>
      </w:r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G</w:t>
      </w:r>
      <w:r w:rsidR="0051343B" w:rsidRPr="007F5FD5">
        <w:rPr>
          <w:rFonts w:ascii="Arial" w:hAnsi="Arial" w:cs="Arial"/>
          <w:color w:val="auto"/>
          <w:sz w:val="20"/>
          <w:szCs w:val="20"/>
        </w:rPr>
        <w:t>, Cai</w:t>
      </w:r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M</w:t>
      </w:r>
      <w:r w:rsidR="0051343B" w:rsidRPr="007F5FD5">
        <w:rPr>
          <w:rFonts w:ascii="Arial" w:hAnsi="Arial" w:cs="Arial"/>
          <w:color w:val="auto"/>
          <w:sz w:val="20"/>
          <w:szCs w:val="20"/>
        </w:rPr>
        <w:t>, Tejpal</w:t>
      </w:r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S</w:t>
      </w:r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</w:t>
      </w:r>
      <w:r w:rsidR="0051343B" w:rsidRPr="007F5FD5">
        <w:rPr>
          <w:rFonts w:ascii="Arial" w:hAnsi="Arial" w:cs="Arial"/>
          <w:i/>
          <w:iCs/>
          <w:color w:val="auto"/>
          <w:sz w:val="20"/>
          <w:szCs w:val="20"/>
        </w:rPr>
        <w:t>et al</w:t>
      </w:r>
      <w:r w:rsidR="0051343B" w:rsidRPr="007F5FD5">
        <w:rPr>
          <w:rFonts w:ascii="Arial" w:hAnsi="Arial" w:cs="Arial"/>
          <w:color w:val="auto"/>
          <w:sz w:val="20"/>
          <w:szCs w:val="20"/>
        </w:rPr>
        <w:t>.</w:t>
      </w:r>
      <w:r w:rsidR="00F9029C" w:rsidRPr="007F5FD5">
        <w:rPr>
          <w:rFonts w:ascii="Arial" w:hAnsi="Arial" w:cs="Arial"/>
          <w:color w:val="auto"/>
          <w:sz w:val="20"/>
          <w:szCs w:val="20"/>
        </w:rPr>
        <w:t xml:space="preserve"> (2024).</w:t>
      </w:r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Upper-Gastrointestinal Tract Metabolite Profile Regulates Glycaemic and Satiety Responses to Meals with Contrasting Structure</w:t>
      </w:r>
      <w:r w:rsidR="00F9029C" w:rsidRPr="007F5FD5">
        <w:rPr>
          <w:rFonts w:ascii="Arial" w:hAnsi="Arial" w:cs="Arial"/>
          <w:color w:val="auto"/>
          <w:sz w:val="20"/>
          <w:szCs w:val="20"/>
        </w:rPr>
        <w:t>.</w:t>
      </w:r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</w:t>
      </w:r>
      <w:r w:rsidR="0051343B" w:rsidRPr="00F70CB3">
        <w:rPr>
          <w:rFonts w:ascii="Arial" w:hAnsi="Arial" w:cs="Arial"/>
          <w:i/>
          <w:iCs/>
          <w:color w:val="auto"/>
          <w:sz w:val="20"/>
          <w:szCs w:val="20"/>
        </w:rPr>
        <w:t>PREPRINT (Version 1) available at Research Square</w:t>
      </w:r>
      <w:r w:rsidR="0051343B" w:rsidRPr="00F70CB3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6" w:history="1">
        <w:r w:rsidR="0051343B" w:rsidRPr="007F5FD5">
          <w:rPr>
            <w:rStyle w:val="Hyperlink"/>
            <w:rFonts w:ascii="Arial" w:hAnsi="Arial" w:cs="Arial"/>
            <w:color w:val="auto"/>
            <w:sz w:val="20"/>
            <w:szCs w:val="20"/>
          </w:rPr>
          <w:t>https://doi.org/10.21203/rs.3.rs-4502487/v1</w:t>
        </w:r>
      </w:hyperlink>
      <w:r w:rsidR="0051343B" w:rsidRPr="007F5FD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AEBA19" w14:textId="47936F70" w:rsidR="00565C5A" w:rsidRPr="007F5FD5" w:rsidRDefault="00F70CB3" w:rsidP="00F9029C">
      <w:pPr>
        <w:ind w:left="0"/>
        <w:rPr>
          <w:rStyle w:val="Hyperlink"/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[3] </w:t>
      </w:r>
      <w:r w:rsidR="00565C5A" w:rsidRPr="007F5FD5">
        <w:rPr>
          <w:rFonts w:ascii="Arial" w:hAnsi="Arial" w:cs="Arial"/>
          <w:color w:val="000000" w:themeColor="text1"/>
          <w:sz w:val="20"/>
          <w:szCs w:val="20"/>
        </w:rPr>
        <w:t>Edwards CH, Ryden P, Pinto AM</w:t>
      </w:r>
      <w:r w:rsidR="000A31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31FB" w:rsidRPr="007F5FD5">
        <w:rPr>
          <w:rFonts w:ascii="Arial" w:hAnsi="Arial" w:cs="Arial"/>
          <w:i/>
          <w:iCs/>
          <w:sz w:val="20"/>
          <w:szCs w:val="20"/>
        </w:rPr>
        <w:t>et al</w:t>
      </w:r>
      <w:r w:rsidR="000A31FB" w:rsidRPr="007F5FD5">
        <w:rPr>
          <w:rFonts w:ascii="Arial" w:hAnsi="Arial" w:cs="Arial"/>
          <w:sz w:val="20"/>
          <w:szCs w:val="20"/>
        </w:rPr>
        <w:t xml:space="preserve">. </w:t>
      </w:r>
      <w:r w:rsidR="00565C5A" w:rsidRPr="007F5FD5">
        <w:rPr>
          <w:rFonts w:ascii="Arial" w:hAnsi="Arial" w:cs="Arial"/>
          <w:color w:val="000000" w:themeColor="text1"/>
          <w:sz w:val="20"/>
          <w:szCs w:val="20"/>
        </w:rPr>
        <w:t xml:space="preserve">(2020). Chemical, physical and glycaemic characterisation of PulseON®: a novel legume cell-powder ingredient for use in the design of functional foods. </w:t>
      </w:r>
      <w:r w:rsidR="00565C5A" w:rsidRPr="007F5FD5">
        <w:rPr>
          <w:rFonts w:ascii="Arial" w:hAnsi="Arial" w:cs="Arial"/>
          <w:i/>
          <w:color w:val="000000" w:themeColor="text1"/>
          <w:sz w:val="20"/>
          <w:szCs w:val="20"/>
        </w:rPr>
        <w:t xml:space="preserve">J Functional Foods 68:103918; </w:t>
      </w:r>
      <w:hyperlink r:id="rId7" w:history="1">
        <w:r w:rsidR="00565C5A" w:rsidRPr="007F5FD5">
          <w:rPr>
            <w:rStyle w:val="Hyperlink"/>
            <w:rFonts w:ascii="Arial" w:hAnsi="Arial" w:cs="Arial"/>
            <w:sz w:val="20"/>
            <w:szCs w:val="20"/>
          </w:rPr>
          <w:t>https://doi.org/10.1016/j.jff.2020.103918</w:t>
        </w:r>
      </w:hyperlink>
      <w:r w:rsidR="00565C5A" w:rsidRPr="007F5FD5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07B6637" w14:textId="3A4C6F32" w:rsidR="00CB21C3" w:rsidRPr="007F5FD5" w:rsidRDefault="00F70CB3" w:rsidP="00F9029C">
      <w:pPr>
        <w:ind w:left="0"/>
        <w:rPr>
          <w:rStyle w:val="SubtleEmphasis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[4] </w:t>
      </w:r>
      <w:r w:rsidR="00CB21C3" w:rsidRPr="007F5FD5">
        <w:rPr>
          <w:rFonts w:ascii="Arial" w:hAnsi="Arial" w:cs="Arial"/>
          <w:color w:val="000000" w:themeColor="text1"/>
          <w:sz w:val="20"/>
          <w:szCs w:val="20"/>
        </w:rPr>
        <w:t xml:space="preserve">Bajka BH, Pinto AM, Ahn-Jarvis J, </w:t>
      </w:r>
      <w:r w:rsidR="000A31FB" w:rsidRPr="007F5FD5">
        <w:rPr>
          <w:rFonts w:ascii="Arial" w:hAnsi="Arial" w:cs="Arial"/>
          <w:i/>
          <w:iCs/>
          <w:sz w:val="20"/>
          <w:szCs w:val="20"/>
        </w:rPr>
        <w:t>et al</w:t>
      </w:r>
      <w:r w:rsidR="000A31FB" w:rsidRPr="007F5FD5">
        <w:rPr>
          <w:rFonts w:ascii="Arial" w:hAnsi="Arial" w:cs="Arial"/>
          <w:sz w:val="20"/>
          <w:szCs w:val="20"/>
        </w:rPr>
        <w:t xml:space="preserve">. </w:t>
      </w:r>
      <w:r w:rsidR="00CB21C3" w:rsidRPr="007F5FD5">
        <w:rPr>
          <w:rFonts w:ascii="Arial" w:hAnsi="Arial" w:cs="Arial"/>
          <w:color w:val="000000" w:themeColor="text1"/>
          <w:sz w:val="20"/>
          <w:szCs w:val="20"/>
        </w:rPr>
        <w:t xml:space="preserve">(2021). The impact of replacing wheat flour with cellular legume powder on starch bioaccessibility, glycaemic response and bread roll quality: A double-blind randomised controlled trial in healthy participants. </w:t>
      </w:r>
      <w:r w:rsidR="00CB21C3" w:rsidRPr="007F5FD5">
        <w:rPr>
          <w:rFonts w:ascii="Arial" w:hAnsi="Arial" w:cs="Arial"/>
          <w:i/>
          <w:iCs/>
          <w:color w:val="000000" w:themeColor="text1"/>
          <w:sz w:val="20"/>
          <w:szCs w:val="20"/>
        </w:rPr>
        <w:t>Food Hydrocolloids</w:t>
      </w:r>
      <w:r w:rsidR="00CB21C3" w:rsidRPr="007F5FD5">
        <w:rPr>
          <w:rFonts w:ascii="Arial" w:hAnsi="Arial" w:cs="Arial"/>
          <w:color w:val="000000" w:themeColor="text1"/>
          <w:sz w:val="20"/>
          <w:szCs w:val="20"/>
        </w:rPr>
        <w:t xml:space="preserve">, 114: 106565. </w:t>
      </w:r>
      <w:hyperlink r:id="rId8" w:history="1">
        <w:r w:rsidR="00CB21C3" w:rsidRPr="007F5FD5">
          <w:rPr>
            <w:rStyle w:val="Hyperlink"/>
            <w:rFonts w:ascii="Arial" w:hAnsi="Arial" w:cs="Arial"/>
            <w:sz w:val="20"/>
            <w:szCs w:val="20"/>
          </w:rPr>
          <w:t>https://doi.org/10.1016/j.foodhyd.2020.106565</w:t>
        </w:r>
      </w:hyperlink>
      <w:r w:rsidR="00CB21C3" w:rsidRPr="007F5FD5">
        <w:rPr>
          <w:rFonts w:ascii="Arial" w:hAnsi="Arial" w:cs="Arial"/>
          <w:sz w:val="20"/>
          <w:szCs w:val="20"/>
        </w:rPr>
        <w:t xml:space="preserve"> </w:t>
      </w:r>
    </w:p>
    <w:p w14:paraId="4B110110" w14:textId="505E0B9F" w:rsidR="004036F4" w:rsidRPr="00615C96" w:rsidRDefault="00F70CB3" w:rsidP="00615C96">
      <w:pPr>
        <w:pStyle w:val="Body"/>
        <w:suppressLineNumbers/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[5] </w:t>
      </w:r>
      <w:r w:rsidR="00F00007" w:rsidRPr="007F5FD5">
        <w:rPr>
          <w:rFonts w:ascii="Arial" w:hAnsi="Arial" w:cs="Arial"/>
          <w:color w:val="auto"/>
          <w:sz w:val="20"/>
          <w:szCs w:val="20"/>
        </w:rPr>
        <w:t xml:space="preserve">Bajka BH, Pinto AM, Perez-Moral N, </w:t>
      </w:r>
      <w:r w:rsidR="000A31FB" w:rsidRPr="007F5FD5">
        <w:rPr>
          <w:rFonts w:ascii="Arial" w:hAnsi="Arial" w:cs="Arial"/>
          <w:i/>
          <w:iCs/>
          <w:color w:val="auto"/>
          <w:sz w:val="20"/>
          <w:szCs w:val="20"/>
        </w:rPr>
        <w:t>et al</w:t>
      </w:r>
      <w:r w:rsidR="000A31FB" w:rsidRPr="007F5FD5">
        <w:rPr>
          <w:rFonts w:ascii="Arial" w:hAnsi="Arial" w:cs="Arial"/>
          <w:color w:val="auto"/>
          <w:sz w:val="20"/>
          <w:szCs w:val="20"/>
        </w:rPr>
        <w:t>.</w:t>
      </w:r>
      <w:r w:rsidR="00F00007" w:rsidRPr="007F5FD5">
        <w:rPr>
          <w:rFonts w:ascii="Arial" w:hAnsi="Arial" w:cs="Arial"/>
          <w:color w:val="auto"/>
          <w:sz w:val="20"/>
          <w:szCs w:val="20"/>
        </w:rPr>
        <w:t xml:space="preserve"> (2023) Enhanced secretion of satiety-promoting gut hormones in healthy humans after consumption of white bread enriched with cellular chickpea flour: A randomized crossover study. </w:t>
      </w:r>
      <w:r w:rsidR="00F00007" w:rsidRPr="007F5FD5">
        <w:rPr>
          <w:rFonts w:ascii="Arial" w:hAnsi="Arial" w:cs="Arial"/>
          <w:i/>
          <w:iCs/>
          <w:color w:val="auto"/>
          <w:sz w:val="20"/>
          <w:szCs w:val="20"/>
        </w:rPr>
        <w:t xml:space="preserve">Amer J Clin </w:t>
      </w:r>
      <w:proofErr w:type="spellStart"/>
      <w:r w:rsidR="00F00007" w:rsidRPr="007F5FD5">
        <w:rPr>
          <w:rFonts w:ascii="Arial" w:hAnsi="Arial" w:cs="Arial"/>
          <w:i/>
          <w:iCs/>
          <w:color w:val="auto"/>
          <w:sz w:val="20"/>
          <w:szCs w:val="20"/>
        </w:rPr>
        <w:t>Nutr</w:t>
      </w:r>
      <w:proofErr w:type="spellEnd"/>
      <w:r w:rsidR="00F00007" w:rsidRPr="007F5FD5">
        <w:rPr>
          <w:rFonts w:ascii="Arial" w:hAnsi="Arial" w:cs="Arial"/>
          <w:color w:val="auto"/>
          <w:sz w:val="20"/>
          <w:szCs w:val="20"/>
        </w:rPr>
        <w:t xml:space="preserve"> 117: 477-489. </w:t>
      </w:r>
      <w:hyperlink r:id="rId9" w:history="1">
        <w:r w:rsidR="00F00007" w:rsidRPr="007F5FD5">
          <w:rPr>
            <w:rStyle w:val="Hyperlink"/>
            <w:rFonts w:ascii="Arial" w:hAnsi="Arial" w:cs="Arial"/>
            <w:sz w:val="20"/>
            <w:szCs w:val="20"/>
          </w:rPr>
          <w:t>https://doi.org/10.1016/j.ajcnut.2022.12.008</w:t>
        </w:r>
      </w:hyperlink>
      <w:r w:rsidR="00F00007" w:rsidRPr="007F5FD5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4036F4" w:rsidRPr="00615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414A"/>
    <w:multiLevelType w:val="hybridMultilevel"/>
    <w:tmpl w:val="D49E31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31EEC"/>
    <w:multiLevelType w:val="hybridMultilevel"/>
    <w:tmpl w:val="0D8E5D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422429">
    <w:abstractNumId w:val="0"/>
  </w:num>
  <w:num w:numId="2" w16cid:durableId="168224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52"/>
    <w:rsid w:val="00017FD4"/>
    <w:rsid w:val="000363EC"/>
    <w:rsid w:val="0005354E"/>
    <w:rsid w:val="0008402F"/>
    <w:rsid w:val="00085815"/>
    <w:rsid w:val="0009074B"/>
    <w:rsid w:val="000A31FB"/>
    <w:rsid w:val="000A5C4C"/>
    <w:rsid w:val="000B5D83"/>
    <w:rsid w:val="000D4E74"/>
    <w:rsid w:val="000F58E7"/>
    <w:rsid w:val="00102DB2"/>
    <w:rsid w:val="00106B88"/>
    <w:rsid w:val="00112BA8"/>
    <w:rsid w:val="00122FB5"/>
    <w:rsid w:val="00124A48"/>
    <w:rsid w:val="0014057B"/>
    <w:rsid w:val="00147517"/>
    <w:rsid w:val="0015014D"/>
    <w:rsid w:val="001553F6"/>
    <w:rsid w:val="00200292"/>
    <w:rsid w:val="002015DA"/>
    <w:rsid w:val="002179FF"/>
    <w:rsid w:val="00232749"/>
    <w:rsid w:val="0023661C"/>
    <w:rsid w:val="00241E52"/>
    <w:rsid w:val="00243A4E"/>
    <w:rsid w:val="00245FFB"/>
    <w:rsid w:val="0025100C"/>
    <w:rsid w:val="002B4097"/>
    <w:rsid w:val="002C3208"/>
    <w:rsid w:val="002D0CD3"/>
    <w:rsid w:val="002F6A42"/>
    <w:rsid w:val="0030362F"/>
    <w:rsid w:val="00314E4B"/>
    <w:rsid w:val="00324137"/>
    <w:rsid w:val="003521A1"/>
    <w:rsid w:val="00394A08"/>
    <w:rsid w:val="003A3704"/>
    <w:rsid w:val="003B612D"/>
    <w:rsid w:val="003D1D2D"/>
    <w:rsid w:val="003D6009"/>
    <w:rsid w:val="00402D30"/>
    <w:rsid w:val="004036F4"/>
    <w:rsid w:val="00434C4B"/>
    <w:rsid w:val="0044675E"/>
    <w:rsid w:val="00470091"/>
    <w:rsid w:val="0047349F"/>
    <w:rsid w:val="004A2FA4"/>
    <w:rsid w:val="004C2C8C"/>
    <w:rsid w:val="004E4F55"/>
    <w:rsid w:val="0051343B"/>
    <w:rsid w:val="00533D00"/>
    <w:rsid w:val="00537F09"/>
    <w:rsid w:val="00545BAE"/>
    <w:rsid w:val="00552A82"/>
    <w:rsid w:val="00565C5A"/>
    <w:rsid w:val="00587A77"/>
    <w:rsid w:val="00594741"/>
    <w:rsid w:val="005A50FD"/>
    <w:rsid w:val="005F25D7"/>
    <w:rsid w:val="00615C96"/>
    <w:rsid w:val="006251A3"/>
    <w:rsid w:val="00637C41"/>
    <w:rsid w:val="006523FE"/>
    <w:rsid w:val="0065576E"/>
    <w:rsid w:val="00684937"/>
    <w:rsid w:val="00686EF6"/>
    <w:rsid w:val="006C310E"/>
    <w:rsid w:val="006C7F9D"/>
    <w:rsid w:val="006E1FB3"/>
    <w:rsid w:val="006E5B01"/>
    <w:rsid w:val="00722B7D"/>
    <w:rsid w:val="007948A9"/>
    <w:rsid w:val="007F0BF7"/>
    <w:rsid w:val="007F5FD5"/>
    <w:rsid w:val="00806568"/>
    <w:rsid w:val="00813979"/>
    <w:rsid w:val="008162FE"/>
    <w:rsid w:val="008307B7"/>
    <w:rsid w:val="00833CB1"/>
    <w:rsid w:val="0084491E"/>
    <w:rsid w:val="00863FD2"/>
    <w:rsid w:val="00873FC2"/>
    <w:rsid w:val="008919CD"/>
    <w:rsid w:val="008E67ED"/>
    <w:rsid w:val="009166BE"/>
    <w:rsid w:val="009518EF"/>
    <w:rsid w:val="009B5120"/>
    <w:rsid w:val="009C6E3F"/>
    <w:rsid w:val="009D6B35"/>
    <w:rsid w:val="009E7D19"/>
    <w:rsid w:val="00A23024"/>
    <w:rsid w:val="00A47364"/>
    <w:rsid w:val="00A66C39"/>
    <w:rsid w:val="00A86CB4"/>
    <w:rsid w:val="00AA7CBA"/>
    <w:rsid w:val="00AC7233"/>
    <w:rsid w:val="00AF49E5"/>
    <w:rsid w:val="00B03E29"/>
    <w:rsid w:val="00B061CA"/>
    <w:rsid w:val="00B128E1"/>
    <w:rsid w:val="00B302C9"/>
    <w:rsid w:val="00B41056"/>
    <w:rsid w:val="00B81878"/>
    <w:rsid w:val="00BB432E"/>
    <w:rsid w:val="00BC7402"/>
    <w:rsid w:val="00C077D0"/>
    <w:rsid w:val="00C206C8"/>
    <w:rsid w:val="00C26CEB"/>
    <w:rsid w:val="00C462A6"/>
    <w:rsid w:val="00C74A25"/>
    <w:rsid w:val="00C85382"/>
    <w:rsid w:val="00CB21C3"/>
    <w:rsid w:val="00CC4DB2"/>
    <w:rsid w:val="00D1062F"/>
    <w:rsid w:val="00D23C89"/>
    <w:rsid w:val="00D30451"/>
    <w:rsid w:val="00D31303"/>
    <w:rsid w:val="00D4120D"/>
    <w:rsid w:val="00D61B66"/>
    <w:rsid w:val="00D64751"/>
    <w:rsid w:val="00D70CB0"/>
    <w:rsid w:val="00D83D83"/>
    <w:rsid w:val="00D9077A"/>
    <w:rsid w:val="00D93285"/>
    <w:rsid w:val="00DB1345"/>
    <w:rsid w:val="00DB1E91"/>
    <w:rsid w:val="00DB7539"/>
    <w:rsid w:val="00DB7B87"/>
    <w:rsid w:val="00DD67BF"/>
    <w:rsid w:val="00DF30DF"/>
    <w:rsid w:val="00E02CC5"/>
    <w:rsid w:val="00E148E6"/>
    <w:rsid w:val="00E30A9D"/>
    <w:rsid w:val="00E34043"/>
    <w:rsid w:val="00E34579"/>
    <w:rsid w:val="00E52848"/>
    <w:rsid w:val="00E56EFF"/>
    <w:rsid w:val="00E652ED"/>
    <w:rsid w:val="00E875DF"/>
    <w:rsid w:val="00EA363F"/>
    <w:rsid w:val="00EA6B59"/>
    <w:rsid w:val="00EB667C"/>
    <w:rsid w:val="00EF231E"/>
    <w:rsid w:val="00F00007"/>
    <w:rsid w:val="00F020BD"/>
    <w:rsid w:val="00F470D8"/>
    <w:rsid w:val="00F538A7"/>
    <w:rsid w:val="00F65F89"/>
    <w:rsid w:val="00F70CB3"/>
    <w:rsid w:val="00F8364E"/>
    <w:rsid w:val="00F87B2A"/>
    <w:rsid w:val="00F9029C"/>
    <w:rsid w:val="00FB0AED"/>
    <w:rsid w:val="00FB397F"/>
    <w:rsid w:val="00FB5D74"/>
    <w:rsid w:val="00FD607C"/>
    <w:rsid w:val="00FF1DCF"/>
    <w:rsid w:val="00FF2700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7275"/>
  <w15:chartTrackingRefBased/>
  <w15:docId w15:val="{6F71B087-E129-4466-90F9-FE814713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08"/>
    <w:pPr>
      <w:ind w:left="357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E52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E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4937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CB21C3"/>
    <w:rPr>
      <w:i/>
      <w:iCs/>
      <w:color w:val="404040" w:themeColor="text1" w:themeTint="BF"/>
    </w:rPr>
  </w:style>
  <w:style w:type="paragraph" w:customStyle="1" w:styleId="Body">
    <w:name w:val="Body"/>
    <w:link w:val="BodyChar"/>
    <w:rsid w:val="00F00007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  <w:ind w:left="0" w:firstLine="0"/>
      <w:jc w:val="left"/>
    </w:pPr>
    <w:rPr>
      <w:rFonts w:ascii="Calibri" w:eastAsia="Arial Unicode MS" w:hAnsi="Calibri" w:cs="Arial Unicode MS"/>
      <w:color w:val="000000"/>
      <w:kern w:val="0"/>
      <w:u w:color="000000"/>
      <w:bdr w:val="nil"/>
      <w:lang w:eastAsia="en-GB"/>
      <w14:ligatures w14:val="none"/>
    </w:rPr>
  </w:style>
  <w:style w:type="character" w:customStyle="1" w:styleId="BodyChar">
    <w:name w:val="Body Char"/>
    <w:basedOn w:val="DefaultParagraphFont"/>
    <w:link w:val="Body"/>
    <w:rsid w:val="00F00007"/>
    <w:rPr>
      <w:rFonts w:ascii="Calibri" w:eastAsia="Arial Unicode MS" w:hAnsi="Calibri" w:cs="Arial Unicode MS"/>
      <w:color w:val="000000"/>
      <w:kern w:val="0"/>
      <w:u w:color="000000"/>
      <w:bdr w:val="nil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odhyd.2020.1065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jff.2020.103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203/rs.3.rs-4502487/v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390/foods90202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jcnut.2022.12.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Cathrina Edwards (QIB)</dc:creator>
  <cp:keywords/>
  <dc:description/>
  <cp:lastModifiedBy>Cathrina Edwards (QIB)</cp:lastModifiedBy>
  <cp:revision>132</cp:revision>
  <dcterms:created xsi:type="dcterms:W3CDTF">2024-12-04T11:18:00Z</dcterms:created>
  <dcterms:modified xsi:type="dcterms:W3CDTF">2024-12-11T10:53:00Z</dcterms:modified>
</cp:coreProperties>
</file>