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2B3" w:rsidRPr="00506215" w:rsidRDefault="00506215" w:rsidP="00506215">
      <w:pPr>
        <w:jc w:val="both"/>
        <w:rPr>
          <w:rFonts w:ascii="Arial" w:hAnsi="Arial" w:cs="Arial"/>
          <w:b/>
          <w:sz w:val="32"/>
          <w:szCs w:val="32"/>
        </w:rPr>
      </w:pPr>
      <w:r w:rsidRPr="00506215">
        <w:rPr>
          <w:rFonts w:ascii="Arial" w:hAnsi="Arial" w:cs="Arial"/>
          <w:b/>
          <w:sz w:val="32"/>
          <w:szCs w:val="32"/>
        </w:rPr>
        <w:t>Multiphase systems – new challenges for the stability and stabilizers evaluation</w:t>
      </w:r>
    </w:p>
    <w:p w:rsidR="00506215" w:rsidRPr="00506215" w:rsidRDefault="00506215" w:rsidP="00506215">
      <w:pPr>
        <w:jc w:val="both"/>
        <w:rPr>
          <w:rFonts w:ascii="Times New Roman" w:hAnsi="Times New Roman" w:cs="Times New Roman"/>
          <w:sz w:val="24"/>
        </w:rPr>
      </w:pPr>
      <w:r w:rsidRPr="00506215">
        <w:rPr>
          <w:rFonts w:ascii="Times New Roman" w:hAnsi="Times New Roman" w:cs="Times New Roman"/>
          <w:sz w:val="24"/>
        </w:rPr>
        <w:t>Maciej Jarzębski</w:t>
      </w:r>
    </w:p>
    <w:p w:rsidR="00506215" w:rsidRDefault="00506215" w:rsidP="00506215">
      <w:pPr>
        <w:jc w:val="both"/>
        <w:rPr>
          <w:rFonts w:ascii="Times New Roman" w:hAnsi="Times New Roman" w:cs="Times New Roman"/>
          <w:sz w:val="24"/>
        </w:rPr>
      </w:pPr>
      <w:r w:rsidRPr="00506215">
        <w:rPr>
          <w:rFonts w:ascii="Times New Roman" w:hAnsi="Times New Roman" w:cs="Times New Roman"/>
          <w:sz w:val="24"/>
        </w:rPr>
        <w:t>Department of Physics and Biophysics, Faculty of Food Science and Nutrition, Poznań University of Life Sciences, Wojska Polskiego 38/42, 60-637, Poznań, Poland</w:t>
      </w:r>
    </w:p>
    <w:p w:rsidR="00506215" w:rsidRDefault="00506215" w:rsidP="00506215">
      <w:pPr>
        <w:jc w:val="both"/>
        <w:rPr>
          <w:rFonts w:ascii="Times New Roman" w:hAnsi="Times New Roman" w:cs="Times New Roman"/>
          <w:sz w:val="24"/>
        </w:rPr>
      </w:pPr>
    </w:p>
    <w:p w:rsidR="00506215" w:rsidRDefault="00506215" w:rsidP="00506215">
      <w:pPr>
        <w:jc w:val="both"/>
        <w:rPr>
          <w:rFonts w:ascii="Arial" w:hAnsi="Arial" w:cs="Arial"/>
        </w:rPr>
      </w:pPr>
      <w:r>
        <w:rPr>
          <w:rFonts w:ascii="Arial" w:hAnsi="Arial" w:cs="Arial"/>
        </w:rPr>
        <w:t xml:space="preserve">Most food products can be considered as a complex colloidal system. For the final consumer, properties such as visual aspects, shape, texture, smell as well as the most important factor which is taste are the most important. However, in point of manufacturing, transportation, and long-term stability play a crucial role. The same aspects are important in the case of cosmetics, and biomedical applications (i.e. wound healing systems). One of the most frequently investigated systems is based on emulsion systems. Due to the low costs of oil in water systems are preferable. In our previous work, we reported that some of the artificial surfactants can be successfully substituted with natural ones </w:t>
      </w:r>
      <w:r>
        <w:rPr>
          <w:rFonts w:ascii="Arial" w:hAnsi="Arial" w:cs="Arial"/>
        </w:rPr>
        <w:fldChar w:fldCharType="begin" w:fldLock="1"/>
      </w:r>
      <w:r>
        <w:rPr>
          <w:rFonts w:ascii="Arial" w:hAnsi="Arial" w:cs="Arial"/>
        </w:rPr>
        <w:instrText>ADDIN CSL_CITATION {"citationItems":[{"id":"ITEM-1","itemData":{"DOI":"10.1016/j.foodhyd.2024.110352","ISSN":"0268005X","author":[{"dropping-particle":"","family":"Jarzębski","given":"Maciej","non-dropping-particle":"","parse-names":false,"suffix":""},{"dropping-particle":"","family":"Smułek","given":"Wojciech","non-dropping-particle":"","parse-names":false,"suffix":""},{"dropping-particle":"","family":"Umutoniwase","given":"Yvette","non-dropping-particle":"","parse-names":false,"suffix":""},{"dropping-particle":"","family":"Niyobuhungiro","given":"Shalome","non-dropping-particle":"","parse-names":false,"suffix":""},{"dropping-particle":"","family":"Shirodkar","given":"Shwetali","non-dropping-particle":"","parse-names":false,"suffix":""},{"dropping-particle":"","family":"Huomachi","given":"Perpetual Okachi","non-dropping-particle":"","parse-names":false,"suffix":""},{"dropping-particle":"","family":"Perła-Kaján","given":"Joanna","non-dropping-particle":"","parse-names":false,"suffix":""},{"dropping-particle":"","family":"Szwajca","given":"Anna","non-dropping-particle":"","parse-names":false,"suffix":""},{"dropping-particle":"","family":"Pal","given":"Kunal","non-dropping-particle":"","parse-names":false,"suffix":""}],"container-title":"Food Hydrocolloids","id":"ITEM-1","issued":{"date-parts":[["2024","11"]]},"page":"110352","title":"Characterization of hemp seed oil emulsion stabilized by soap nuts (Sapindus mukorossi) extract","type":"article-journal","volume":"156"},"uris":["http://www.mendeley.com/documents/?uuid=540a19da-e0a8-4a67-87b4-9de8027bdca8"]}],"mendeley":{"formattedCitation":"[1]","plainTextFormattedCitation":"[1]","previouslyFormattedCitation":"[1]"},"properties":{"noteIndex":0},"schema":"https://github.com/citation-style-language/schema/raw/master/csl-citation.json"}</w:instrText>
      </w:r>
      <w:r>
        <w:rPr>
          <w:rFonts w:ascii="Arial" w:hAnsi="Arial" w:cs="Arial"/>
        </w:rPr>
        <w:fldChar w:fldCharType="separate"/>
      </w:r>
      <w:r w:rsidRPr="00506215">
        <w:rPr>
          <w:rFonts w:ascii="Arial" w:hAnsi="Arial" w:cs="Arial"/>
          <w:noProof/>
        </w:rPr>
        <w:t>[1]</w:t>
      </w:r>
      <w:r>
        <w:rPr>
          <w:rFonts w:ascii="Arial" w:hAnsi="Arial" w:cs="Arial"/>
        </w:rPr>
        <w:fldChar w:fldCharType="end"/>
      </w:r>
      <w:r>
        <w:rPr>
          <w:rFonts w:ascii="Arial" w:hAnsi="Arial" w:cs="Arial"/>
        </w:rPr>
        <w:t xml:space="preserve">. Here, stabilizers based on saponins showed desirable properties. Soap nuts or </w:t>
      </w:r>
      <w:r w:rsidRPr="00506215">
        <w:rPr>
          <w:rFonts w:ascii="Arial" w:hAnsi="Arial" w:cs="Arial"/>
        </w:rPr>
        <w:t xml:space="preserve">Aesculus hippocastanum L. </w:t>
      </w:r>
      <w:r>
        <w:rPr>
          <w:rFonts w:ascii="Arial" w:hAnsi="Arial" w:cs="Arial"/>
        </w:rPr>
        <w:t xml:space="preserve">extracts </w:t>
      </w:r>
      <w:r>
        <w:rPr>
          <w:rFonts w:ascii="Arial" w:hAnsi="Arial" w:cs="Arial"/>
        </w:rPr>
        <w:fldChar w:fldCharType="begin" w:fldLock="1"/>
      </w:r>
      <w:r>
        <w:rPr>
          <w:rFonts w:ascii="Arial" w:hAnsi="Arial" w:cs="Arial"/>
        </w:rPr>
        <w:instrText>ADDIN CSL_CITATION {"citationItems":[{"id":"ITEM-1","itemData":{"DOI":"https://doi.org/10.1515/rams-2022-0317","author":[{"dropping-particle":"","family":"Smułek","given":"Wojciech","non-dropping-particle":"","parse-names":false,"suffix":""},{"dropping-particle":"","family":"Jarzębski","given":"Maciej","non-dropping-particle":"","parse-names":false,"suffix":""}],"container-title":"REVIEWS ON ADVANCED MATERIALS SCIENCE","id":"ITEM-1","issued":{"date-parts":[["2023"]]},"page":"20220317","title":"Hemp seed oil nanoemulsion with Sapindus saponins as a potential carrier for iron supplement and vitamin D","type":"article-journal","volume":"62"},"uris":["http://www.mendeley.com/documents/?uuid=06baad00-011b-47c5-ba30-ac3030fecc7a"]},{"id":"ITEM-2","itemData":{"DOI":"10.1016/j.foodhyd.2019.105237","ISSN":"0268005X","abstract":"Aesculus hippocastanum L. extract is gaining interest because of the presence of saponins content as a potential emulsion stabilizer. Saponin-containing plant extracts are receiving much interest because of their surface-active properties. This study presents the investigations on Aesculus hippocastanum L. (AHL) bark extract as a potential antibacterial emulsion stabilizer. The tested crude extract of AHL contained 4.7% saponins, which are considered as the main group of extract components responsible for its surface-active properties. Two series of plant extracts were prepared: the first one (crude) was obtained immediately after the extraction procedure, and the second one was obtained by filtration of crude extract through a syringe filter (200 nm). The emulsifying properties of crude and filtered extracts were compared according to their surface-active properties and emulsification index (EI24). Moreover, fluorescence behavior and antimicrobial activity of the extracts were studied. Microviscosity tests were performed by low-field nuclear magnetic resonance spectroscopy. The obtained results confirmed the toxic effect of the tested plant extract on environmental bacterial strains. At the highest used concentration of AHL extract (the tripled critical micelle concentration value), the metabolic activity was lowered to 3% (for Pseudomonas sp. MChB) and 73% (for Raoultella planticola). The presented results are the first step to evaluate the plant extracts according to their basic properties in the context of the particle size. Furthermore, the basic toxicity test showed that AHL extracts might be considered as a potential preservation agent in food industry or packaging systems.","author":[{"dropping-particle":"","family":"Jarzębski","given":"Maciej","non-dropping-particle":"","parse-names":false,"suffix":""},{"dropping-particle":"","family":"Smułek","given":"Wojciech","non-dropping-particle":"","parse-names":false,"suffix":""},{"dropping-particle":"","family":"Siejak","given":"Przemysław","non-dropping-particle":"","parse-names":false,"suffix":""},{"dropping-particle":"","family":"Kobus-Cisowska","given":"Joanna","non-dropping-particle":"","parse-names":false,"suffix":""},{"dropping-particle":"","family":"Pieczyrak","given":"Danuta","non-dropping-particle":"","parse-names":false,"suffix":""},{"dropping-particle":"","family":"Baranowska","given":"Hanna Maria","non-dropping-particle":"","parse-names":false,"suffix":""},{"dropping-particle":"","family":"Jakubowicz","given":"Jarosław","non-dropping-particle":"","parse-names":false,"suffix":""},{"dropping-particle":"","family":"Sopata","given":"Mateusz","non-dropping-particle":"","parse-names":false,"suffix":""},{"dropping-particle":"","family":"Białopiotrowicz","given":"Tomasz","non-dropping-particle":"","parse-names":false,"suffix":""},{"dropping-particle":"","family":"Kaczorek","given":"Ewa","non-dropping-particle":"","parse-names":false,"suffix":""}],"container-title":"Food Hydrocolloids","id":"ITEM-2","issue":"May","issued":{"date-parts":[["2019"]]},"title":"Aesculus hippocastanum L. extract as a potential emulsion stabilizer","type":"article-journal","volume":"97"},"uris":["http://www.mendeley.com/documents/?uuid=224d4a62-84fd-46b5-b15a-4f239e294895"]}],"mendeley":{"formattedCitation":"[2], [3]","plainTextFormattedCitation":"[2], [3]"},"properties":{"noteIndex":0},"schema":"https://github.com/citation-style-language/schema/raw/master/csl-citation.json"}</w:instrText>
      </w:r>
      <w:r>
        <w:rPr>
          <w:rFonts w:ascii="Arial" w:hAnsi="Arial" w:cs="Arial"/>
        </w:rPr>
        <w:fldChar w:fldCharType="separate"/>
      </w:r>
      <w:r w:rsidRPr="00506215">
        <w:rPr>
          <w:rFonts w:ascii="Arial" w:hAnsi="Arial" w:cs="Arial"/>
          <w:noProof/>
        </w:rPr>
        <w:t>[2], [3]</w:t>
      </w:r>
      <w:r>
        <w:rPr>
          <w:rFonts w:ascii="Arial" w:hAnsi="Arial" w:cs="Arial"/>
        </w:rPr>
        <w:fldChar w:fldCharType="end"/>
      </w:r>
      <w:r>
        <w:rPr>
          <w:rFonts w:ascii="Arial" w:hAnsi="Arial" w:cs="Arial"/>
        </w:rPr>
        <w:t xml:space="preserve"> showed a high stability effect in water in oil emulsion systems. The reduction of droplet size using a two-step homogenization process decreases the particle size into nanorange, which increases the system stability. </w:t>
      </w:r>
    </w:p>
    <w:p w:rsidR="00506215" w:rsidRDefault="00506215" w:rsidP="00506215">
      <w:pPr>
        <w:jc w:val="both"/>
        <w:rPr>
          <w:rFonts w:ascii="Arial" w:hAnsi="Arial" w:cs="Arial"/>
        </w:rPr>
      </w:pPr>
      <w:r>
        <w:rPr>
          <w:rFonts w:ascii="Arial" w:hAnsi="Arial" w:cs="Arial"/>
        </w:rPr>
        <w:t xml:space="preserve">Typical stability tests apply dynamic light scattering techniques, and various microscopic, and spectrophotometric analytical tests, which are supported by rheology, and storage condition evaluations. </w:t>
      </w:r>
    </w:p>
    <w:p w:rsidR="00506215" w:rsidRPr="00183779" w:rsidRDefault="00506215" w:rsidP="00506215">
      <w:pPr>
        <w:pStyle w:val="Akapitzlist"/>
        <w:ind w:left="0"/>
        <w:jc w:val="both"/>
        <w:rPr>
          <w:noProof/>
          <w:lang w:val="en-US"/>
        </w:rPr>
      </w:pPr>
      <w:r w:rsidRPr="00183779">
        <w:rPr>
          <w:b/>
          <w:noProof/>
        </w:rPr>
        <w:drawing>
          <wp:inline distT="0" distB="0" distL="0" distR="0" wp14:anchorId="2351DC92" wp14:editId="16879DF7">
            <wp:extent cx="6092190" cy="2055495"/>
            <wp:effectExtent l="0" t="0" r="0" b="590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06215" w:rsidRPr="00183779" w:rsidRDefault="00506215" w:rsidP="00506215">
      <w:pPr>
        <w:pStyle w:val="Akapitzlist"/>
        <w:ind w:left="0"/>
        <w:jc w:val="center"/>
        <w:rPr>
          <w:noProof/>
          <w:lang w:val="en-US"/>
        </w:rPr>
      </w:pPr>
      <w:r w:rsidRPr="00183779">
        <w:rPr>
          <w:noProof/>
          <w:lang w:val="en-US"/>
        </w:rPr>
        <w:t>Fig. 1 Idea of the multiphase system</w:t>
      </w:r>
    </w:p>
    <w:p w:rsidR="00506215" w:rsidRDefault="00506215" w:rsidP="00506215">
      <w:pPr>
        <w:jc w:val="both"/>
        <w:rPr>
          <w:rFonts w:ascii="Arial" w:hAnsi="Arial" w:cs="Arial"/>
        </w:rPr>
      </w:pPr>
    </w:p>
    <w:p w:rsidR="00506215" w:rsidRDefault="00506215" w:rsidP="00506215">
      <w:pPr>
        <w:jc w:val="both"/>
        <w:rPr>
          <w:rFonts w:ascii="Arial" w:hAnsi="Arial" w:cs="Arial"/>
          <w:lang w:val="en-US"/>
        </w:rPr>
      </w:pPr>
      <w:r>
        <w:rPr>
          <w:rFonts w:ascii="Arial" w:hAnsi="Arial" w:cs="Arial"/>
        </w:rPr>
        <w:t>Here, we present the concept of</w:t>
      </w:r>
      <w:r w:rsidRPr="00506215">
        <w:rPr>
          <w:rFonts w:ascii="Arial" w:hAnsi="Arial" w:cs="Arial"/>
        </w:rPr>
        <w:t xml:space="preserve"> </w:t>
      </w:r>
      <w:r>
        <w:rPr>
          <w:rFonts w:ascii="Arial" w:hAnsi="Arial" w:cs="Arial"/>
        </w:rPr>
        <w:t xml:space="preserve">a </w:t>
      </w:r>
      <w:r w:rsidRPr="00506215">
        <w:rPr>
          <w:rFonts w:ascii="Arial" w:hAnsi="Arial" w:cs="Arial"/>
        </w:rPr>
        <w:t>multiphase stable system</w:t>
      </w:r>
      <w:r>
        <w:rPr>
          <w:rFonts w:ascii="Arial" w:hAnsi="Arial" w:cs="Arial"/>
        </w:rPr>
        <w:t>. This solution might be interesting in case of</w:t>
      </w:r>
      <w:r w:rsidRPr="00506215">
        <w:rPr>
          <w:rFonts w:ascii="Arial" w:hAnsi="Arial" w:cs="Arial"/>
        </w:rPr>
        <w:t xml:space="preserve"> preventing </w:t>
      </w:r>
      <w:r>
        <w:rPr>
          <w:rFonts w:ascii="Arial" w:hAnsi="Arial" w:cs="Arial"/>
        </w:rPr>
        <w:t xml:space="preserve">the </w:t>
      </w:r>
      <w:r w:rsidRPr="00506215">
        <w:rPr>
          <w:rFonts w:ascii="Arial" w:hAnsi="Arial" w:cs="Arial"/>
        </w:rPr>
        <w:t xml:space="preserve">degradation of </w:t>
      </w:r>
      <w:r>
        <w:rPr>
          <w:rFonts w:ascii="Arial" w:hAnsi="Arial" w:cs="Arial"/>
        </w:rPr>
        <w:t xml:space="preserve">bioactive compounds such as </w:t>
      </w:r>
      <w:r w:rsidRPr="00506215">
        <w:rPr>
          <w:rFonts w:ascii="Arial" w:hAnsi="Arial" w:cs="Arial"/>
        </w:rPr>
        <w:t xml:space="preserve">vitamins and their active release in selected conditions. </w:t>
      </w:r>
      <w:r w:rsidRPr="00506215">
        <w:rPr>
          <w:rFonts w:ascii="Arial" w:hAnsi="Arial" w:cs="Arial"/>
          <w:lang w:val="en-US"/>
        </w:rPr>
        <w:t>In the proposed multiphase system the O/W emulsion systems might be beneficial, due to final composition stability. As a final matrix of the emulsions with vitamines hydrogels will be applied.</w:t>
      </w:r>
    </w:p>
    <w:p w:rsidR="00506215" w:rsidRDefault="00506215" w:rsidP="00506215">
      <w:pPr>
        <w:jc w:val="both"/>
        <w:rPr>
          <w:rFonts w:ascii="Arial" w:hAnsi="Arial" w:cs="Arial"/>
        </w:rPr>
      </w:pPr>
      <w:r>
        <w:rPr>
          <w:rFonts w:ascii="Arial" w:hAnsi="Arial" w:cs="Arial"/>
        </w:rPr>
        <w:t>Our goal in this presentation is to open a discussion for:</w:t>
      </w:r>
    </w:p>
    <w:p w:rsidR="00506215" w:rsidRDefault="00506215" w:rsidP="00506215">
      <w:pPr>
        <w:jc w:val="both"/>
        <w:rPr>
          <w:rFonts w:ascii="Arial" w:hAnsi="Arial" w:cs="Arial"/>
        </w:rPr>
      </w:pPr>
      <w:r>
        <w:rPr>
          <w:rFonts w:ascii="Arial" w:hAnsi="Arial" w:cs="Arial"/>
        </w:rPr>
        <w:t>- which factors/interactions should be considered in stability evaluation,</w:t>
      </w:r>
    </w:p>
    <w:p w:rsidR="00506215" w:rsidRDefault="00506215" w:rsidP="00506215">
      <w:pPr>
        <w:jc w:val="both"/>
        <w:rPr>
          <w:rFonts w:ascii="Arial" w:hAnsi="Arial" w:cs="Arial"/>
        </w:rPr>
      </w:pPr>
      <w:r>
        <w:rPr>
          <w:rFonts w:ascii="Arial" w:hAnsi="Arial" w:cs="Arial"/>
        </w:rPr>
        <w:t>- what kind of stability tests/desirable properties tests should be applied for multiphase colloidal systems evaluations,</w:t>
      </w:r>
    </w:p>
    <w:p w:rsidR="00506215" w:rsidRDefault="00506215" w:rsidP="00506215">
      <w:pPr>
        <w:jc w:val="both"/>
        <w:rPr>
          <w:rFonts w:ascii="Arial" w:hAnsi="Arial" w:cs="Arial"/>
        </w:rPr>
      </w:pPr>
      <w:r>
        <w:rPr>
          <w:rFonts w:ascii="Arial" w:hAnsi="Arial" w:cs="Arial"/>
        </w:rPr>
        <w:lastRenderedPageBreak/>
        <w:t>- how the natural stabilizers affect each phase in the complex/multiphase system.</w:t>
      </w:r>
    </w:p>
    <w:p w:rsidR="00506215" w:rsidRDefault="00506215" w:rsidP="00506215">
      <w:pPr>
        <w:jc w:val="both"/>
        <w:rPr>
          <w:rFonts w:ascii="Arial" w:hAnsi="Arial" w:cs="Arial"/>
        </w:rPr>
      </w:pPr>
      <w:r>
        <w:rPr>
          <w:rFonts w:ascii="Arial" w:hAnsi="Arial" w:cs="Arial"/>
        </w:rPr>
        <w:t xml:space="preserve">During the presentation, some examples of testing techniques, such as microscopy (with digital microscopy support), DLS, and rheology will be discussed. </w:t>
      </w:r>
      <w:bookmarkStart w:id="0" w:name="_GoBack"/>
      <w:bookmarkEnd w:id="0"/>
    </w:p>
    <w:p w:rsidR="00506215" w:rsidRPr="00506215" w:rsidRDefault="00506215" w:rsidP="00506215">
      <w:pPr>
        <w:jc w:val="both"/>
        <w:rPr>
          <w:rFonts w:ascii="Arial" w:hAnsi="Arial" w:cs="Arial"/>
          <w:i/>
          <w:sz w:val="20"/>
        </w:rPr>
      </w:pPr>
      <w:r w:rsidRPr="00506215">
        <w:rPr>
          <w:rFonts w:ascii="Arial" w:hAnsi="Arial" w:cs="Arial"/>
          <w:i/>
          <w:sz w:val="20"/>
        </w:rPr>
        <w:t>References:</w:t>
      </w:r>
    </w:p>
    <w:p w:rsidR="00506215" w:rsidRPr="00506215" w:rsidRDefault="00506215" w:rsidP="00506215">
      <w:pPr>
        <w:widowControl w:val="0"/>
        <w:autoSpaceDE w:val="0"/>
        <w:autoSpaceDN w:val="0"/>
        <w:adjustRightInd w:val="0"/>
        <w:spacing w:after="0" w:line="240" w:lineRule="auto"/>
        <w:ind w:left="640" w:hanging="640"/>
        <w:jc w:val="both"/>
        <w:rPr>
          <w:rFonts w:ascii="Arial" w:hAnsi="Arial" w:cs="Arial"/>
          <w:noProof/>
          <w:sz w:val="20"/>
          <w:szCs w:val="24"/>
        </w:rPr>
      </w:pPr>
      <w:r w:rsidRPr="00506215">
        <w:rPr>
          <w:rFonts w:ascii="Arial" w:hAnsi="Arial" w:cs="Arial"/>
          <w:sz w:val="20"/>
        </w:rPr>
        <w:fldChar w:fldCharType="begin" w:fldLock="1"/>
      </w:r>
      <w:r w:rsidRPr="00506215">
        <w:rPr>
          <w:rFonts w:ascii="Arial" w:hAnsi="Arial" w:cs="Arial"/>
          <w:sz w:val="20"/>
        </w:rPr>
        <w:instrText xml:space="preserve">ADDIN Mendeley Bibliography CSL_BIBLIOGRAPHY </w:instrText>
      </w:r>
      <w:r w:rsidRPr="00506215">
        <w:rPr>
          <w:rFonts w:ascii="Arial" w:hAnsi="Arial" w:cs="Arial"/>
          <w:sz w:val="20"/>
        </w:rPr>
        <w:fldChar w:fldCharType="separate"/>
      </w:r>
      <w:r w:rsidRPr="00506215">
        <w:rPr>
          <w:rFonts w:ascii="Arial" w:hAnsi="Arial" w:cs="Arial"/>
          <w:noProof/>
          <w:sz w:val="20"/>
          <w:szCs w:val="24"/>
        </w:rPr>
        <w:t>[1]</w:t>
      </w:r>
      <w:r w:rsidRPr="00506215">
        <w:rPr>
          <w:rFonts w:ascii="Arial" w:hAnsi="Arial" w:cs="Arial"/>
          <w:noProof/>
          <w:sz w:val="20"/>
          <w:szCs w:val="24"/>
        </w:rPr>
        <w:tab/>
        <w:t xml:space="preserve">M. Jarzębski </w:t>
      </w:r>
      <w:r w:rsidRPr="00506215">
        <w:rPr>
          <w:rFonts w:ascii="Arial" w:hAnsi="Arial" w:cs="Arial"/>
          <w:i/>
          <w:iCs/>
          <w:noProof/>
          <w:sz w:val="20"/>
          <w:szCs w:val="24"/>
        </w:rPr>
        <w:t>et al.</w:t>
      </w:r>
      <w:r w:rsidRPr="00506215">
        <w:rPr>
          <w:rFonts w:ascii="Arial" w:hAnsi="Arial" w:cs="Arial"/>
          <w:noProof/>
          <w:sz w:val="20"/>
          <w:szCs w:val="24"/>
        </w:rPr>
        <w:t xml:space="preserve">, “Characterization of hemp seed oil emulsion stabilized by soap nuts (Sapindus mukorossi) extract,” </w:t>
      </w:r>
      <w:r w:rsidRPr="00506215">
        <w:rPr>
          <w:rFonts w:ascii="Arial" w:hAnsi="Arial" w:cs="Arial"/>
          <w:i/>
          <w:iCs/>
          <w:noProof/>
          <w:sz w:val="20"/>
          <w:szCs w:val="24"/>
        </w:rPr>
        <w:t>Food Hydrocoll.</w:t>
      </w:r>
      <w:r w:rsidRPr="00506215">
        <w:rPr>
          <w:rFonts w:ascii="Arial" w:hAnsi="Arial" w:cs="Arial"/>
          <w:noProof/>
          <w:sz w:val="20"/>
          <w:szCs w:val="24"/>
        </w:rPr>
        <w:t>, vol. 156, p. 110352, Nov. 2024, doi: 10.1016/j.foodhyd.2024.110352.</w:t>
      </w:r>
    </w:p>
    <w:p w:rsidR="00506215" w:rsidRPr="00506215" w:rsidRDefault="00506215" w:rsidP="00506215">
      <w:pPr>
        <w:widowControl w:val="0"/>
        <w:autoSpaceDE w:val="0"/>
        <w:autoSpaceDN w:val="0"/>
        <w:adjustRightInd w:val="0"/>
        <w:spacing w:after="0" w:line="240" w:lineRule="auto"/>
        <w:ind w:left="640" w:hanging="640"/>
        <w:jc w:val="both"/>
        <w:rPr>
          <w:rFonts w:ascii="Arial" w:hAnsi="Arial" w:cs="Arial"/>
          <w:noProof/>
          <w:sz w:val="20"/>
          <w:szCs w:val="24"/>
        </w:rPr>
      </w:pPr>
      <w:r w:rsidRPr="00506215">
        <w:rPr>
          <w:rFonts w:ascii="Arial" w:hAnsi="Arial" w:cs="Arial"/>
          <w:noProof/>
          <w:sz w:val="20"/>
          <w:szCs w:val="24"/>
        </w:rPr>
        <w:t>[2]</w:t>
      </w:r>
      <w:r w:rsidRPr="00506215">
        <w:rPr>
          <w:rFonts w:ascii="Arial" w:hAnsi="Arial" w:cs="Arial"/>
          <w:noProof/>
          <w:sz w:val="20"/>
          <w:szCs w:val="24"/>
        </w:rPr>
        <w:tab/>
        <w:t xml:space="preserve">W. Smułek and M. Jarzębski, “Hemp seed oil nanoemulsion with Sapindus saponins as a potential carrier for iron supplement and vitamin D,” </w:t>
      </w:r>
      <w:r w:rsidRPr="00506215">
        <w:rPr>
          <w:rFonts w:ascii="Arial" w:hAnsi="Arial" w:cs="Arial"/>
          <w:i/>
          <w:iCs/>
          <w:noProof/>
          <w:sz w:val="20"/>
          <w:szCs w:val="24"/>
        </w:rPr>
        <w:t>Rev. Adv. Mater. Sci.</w:t>
      </w:r>
      <w:r w:rsidRPr="00506215">
        <w:rPr>
          <w:rFonts w:ascii="Arial" w:hAnsi="Arial" w:cs="Arial"/>
          <w:noProof/>
          <w:sz w:val="20"/>
          <w:szCs w:val="24"/>
        </w:rPr>
        <w:t>, vol. 62, p. 20220317, 2023, doi: https://doi.org/10.1515/rams-2022-0317.</w:t>
      </w:r>
    </w:p>
    <w:p w:rsidR="00506215" w:rsidRPr="00506215" w:rsidRDefault="00506215" w:rsidP="00506215">
      <w:pPr>
        <w:widowControl w:val="0"/>
        <w:autoSpaceDE w:val="0"/>
        <w:autoSpaceDN w:val="0"/>
        <w:adjustRightInd w:val="0"/>
        <w:spacing w:after="0" w:line="240" w:lineRule="auto"/>
        <w:ind w:left="640" w:hanging="640"/>
        <w:jc w:val="both"/>
        <w:rPr>
          <w:rFonts w:ascii="Arial" w:hAnsi="Arial" w:cs="Arial"/>
          <w:noProof/>
          <w:sz w:val="20"/>
        </w:rPr>
      </w:pPr>
      <w:r w:rsidRPr="00506215">
        <w:rPr>
          <w:rFonts w:ascii="Arial" w:hAnsi="Arial" w:cs="Arial"/>
          <w:noProof/>
          <w:sz w:val="20"/>
          <w:szCs w:val="24"/>
        </w:rPr>
        <w:t>[3]</w:t>
      </w:r>
      <w:r w:rsidRPr="00506215">
        <w:rPr>
          <w:rFonts w:ascii="Arial" w:hAnsi="Arial" w:cs="Arial"/>
          <w:noProof/>
          <w:sz w:val="20"/>
          <w:szCs w:val="24"/>
        </w:rPr>
        <w:tab/>
        <w:t xml:space="preserve">M. Jarzębski </w:t>
      </w:r>
      <w:r w:rsidRPr="00506215">
        <w:rPr>
          <w:rFonts w:ascii="Arial" w:hAnsi="Arial" w:cs="Arial"/>
          <w:i/>
          <w:iCs/>
          <w:noProof/>
          <w:sz w:val="20"/>
          <w:szCs w:val="24"/>
        </w:rPr>
        <w:t>et al.</w:t>
      </w:r>
      <w:r w:rsidRPr="00506215">
        <w:rPr>
          <w:rFonts w:ascii="Arial" w:hAnsi="Arial" w:cs="Arial"/>
          <w:noProof/>
          <w:sz w:val="20"/>
          <w:szCs w:val="24"/>
        </w:rPr>
        <w:t xml:space="preserve">, “Aesculus hippocastanum L. extract as a potential emulsion stabilizer,” </w:t>
      </w:r>
      <w:r w:rsidRPr="00506215">
        <w:rPr>
          <w:rFonts w:ascii="Arial" w:hAnsi="Arial" w:cs="Arial"/>
          <w:i/>
          <w:iCs/>
          <w:noProof/>
          <w:sz w:val="20"/>
          <w:szCs w:val="24"/>
        </w:rPr>
        <w:t>Food Hydrocoll.</w:t>
      </w:r>
      <w:r w:rsidRPr="00506215">
        <w:rPr>
          <w:rFonts w:ascii="Arial" w:hAnsi="Arial" w:cs="Arial"/>
          <w:noProof/>
          <w:sz w:val="20"/>
          <w:szCs w:val="24"/>
        </w:rPr>
        <w:t>, vol. 97, no. May, 2019, doi: 10.1016/j.foodhyd.2019.105237.</w:t>
      </w:r>
    </w:p>
    <w:p w:rsidR="00506215" w:rsidRPr="00506215" w:rsidRDefault="00506215" w:rsidP="00506215">
      <w:pPr>
        <w:spacing w:after="0"/>
        <w:jc w:val="both"/>
        <w:rPr>
          <w:rFonts w:ascii="Arial" w:hAnsi="Arial" w:cs="Arial"/>
        </w:rPr>
      </w:pPr>
      <w:r w:rsidRPr="00506215">
        <w:rPr>
          <w:rFonts w:ascii="Arial" w:hAnsi="Arial" w:cs="Arial"/>
          <w:sz w:val="20"/>
        </w:rPr>
        <w:fldChar w:fldCharType="end"/>
      </w:r>
    </w:p>
    <w:p w:rsidR="00506215" w:rsidRPr="00506215" w:rsidRDefault="00506215" w:rsidP="00506215">
      <w:pPr>
        <w:jc w:val="center"/>
        <w:rPr>
          <w:rFonts w:ascii="Cambria" w:hAnsi="Cambria"/>
          <w:sz w:val="24"/>
        </w:rPr>
      </w:pPr>
    </w:p>
    <w:sectPr w:rsidR="00506215" w:rsidRPr="00506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Q0NTUD0qYGFmYGRko6SsGpxcWZ+XkgBYa1AMPeamgsAAAA"/>
  </w:docVars>
  <w:rsids>
    <w:rsidRoot w:val="00500496"/>
    <w:rsid w:val="004028B3"/>
    <w:rsid w:val="00500496"/>
    <w:rsid w:val="00506215"/>
    <w:rsid w:val="00794C45"/>
    <w:rsid w:val="00B66F33"/>
    <w:rsid w:val="00BC1A58"/>
    <w:rsid w:val="00D106E2"/>
    <w:rsid w:val="00E552B3"/>
    <w:rsid w:val="00EF0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D792"/>
  <w15:chartTrackingRefBased/>
  <w15:docId w15:val="{AB9F8606-D726-4377-8A8E-CBAD9B8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04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215"/>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AADBA-AD05-482B-84B3-29FD23475CA1}" type="doc">
      <dgm:prSet loTypeId="urn:microsoft.com/office/officeart/2005/8/layout/target1" loCatId="relationship" qsTypeId="urn:microsoft.com/office/officeart/2005/8/quickstyle/3d2" qsCatId="3D" csTypeId="urn:microsoft.com/office/officeart/2005/8/colors/colorful1" csCatId="colorful" phldr="1"/>
      <dgm:spPr/>
    </dgm:pt>
    <dgm:pt modelId="{988B9683-F069-4032-A48E-93DE9B4460F8}">
      <dgm:prSet phldrT="[Tekst]" custT="1"/>
      <dgm:spPr/>
      <dgm:t>
        <a:bodyPr/>
        <a:lstStyle/>
        <a:p>
          <a:r>
            <a:rPr lang="pl-PL" sz="1200">
              <a:latin typeface="Times New Roman" panose="02020603050405020304" pitchFamily="18" charset="0"/>
              <a:cs typeface="Times New Roman" panose="02020603050405020304" pitchFamily="18" charset="0"/>
            </a:rPr>
            <a:t>active compund</a:t>
          </a:r>
        </a:p>
      </dgm:t>
    </dgm:pt>
    <dgm:pt modelId="{D3914BB4-FCF3-430F-BB86-AE9125706F08}" type="parTrans" cxnId="{7CE617D2-C0DB-4CE8-B695-54C599FC968F}">
      <dgm:prSet/>
      <dgm:spPr/>
      <dgm:t>
        <a:bodyPr/>
        <a:lstStyle/>
        <a:p>
          <a:endParaRPr lang="pl-PL"/>
        </a:p>
      </dgm:t>
    </dgm:pt>
    <dgm:pt modelId="{4DFE6A44-0141-4F1D-BD7C-C9E23DC1A53C}" type="sibTrans" cxnId="{7CE617D2-C0DB-4CE8-B695-54C599FC968F}">
      <dgm:prSet/>
      <dgm:spPr/>
      <dgm:t>
        <a:bodyPr/>
        <a:lstStyle/>
        <a:p>
          <a:endParaRPr lang="pl-PL"/>
        </a:p>
      </dgm:t>
    </dgm:pt>
    <dgm:pt modelId="{A46C4F3F-688D-4D5B-B207-9D1DF8D6B0C4}">
      <dgm:prSet phldrT="[Tekst]" custT="1"/>
      <dgm:spPr/>
      <dgm:t>
        <a:bodyPr/>
        <a:lstStyle/>
        <a:p>
          <a:r>
            <a:rPr lang="pl-PL" sz="1200">
              <a:latin typeface="Times New Roman" panose="02020603050405020304" pitchFamily="18" charset="0"/>
              <a:cs typeface="Times New Roman" panose="02020603050405020304" pitchFamily="18" charset="0"/>
            </a:rPr>
            <a:t>oil phase</a:t>
          </a:r>
        </a:p>
      </dgm:t>
    </dgm:pt>
    <dgm:pt modelId="{375311C6-6C03-46DE-AB84-0DDCCC211DA6}" type="parTrans" cxnId="{E55F1F38-C085-4FCC-8757-1CA5D57A3438}">
      <dgm:prSet/>
      <dgm:spPr/>
      <dgm:t>
        <a:bodyPr/>
        <a:lstStyle/>
        <a:p>
          <a:endParaRPr lang="pl-PL"/>
        </a:p>
      </dgm:t>
    </dgm:pt>
    <dgm:pt modelId="{F501EC0A-5ECD-4D62-9DD7-29B778296D07}" type="sibTrans" cxnId="{E55F1F38-C085-4FCC-8757-1CA5D57A3438}">
      <dgm:prSet/>
      <dgm:spPr/>
      <dgm:t>
        <a:bodyPr/>
        <a:lstStyle/>
        <a:p>
          <a:endParaRPr lang="pl-PL"/>
        </a:p>
      </dgm:t>
    </dgm:pt>
    <dgm:pt modelId="{71BFA8F1-D7FB-43FF-858F-1E3599BF76AF}">
      <dgm:prSet phldrT="[Tekst]" custT="1"/>
      <dgm:spPr/>
      <dgm:t>
        <a:bodyPr/>
        <a:lstStyle/>
        <a:p>
          <a:r>
            <a:rPr lang="pl-PL" sz="1200">
              <a:latin typeface="Times New Roman" panose="02020603050405020304" pitchFamily="18" charset="0"/>
              <a:cs typeface="Times New Roman" panose="02020603050405020304" pitchFamily="18" charset="0"/>
            </a:rPr>
            <a:t>water phase</a:t>
          </a:r>
        </a:p>
      </dgm:t>
    </dgm:pt>
    <dgm:pt modelId="{C9743F01-FEF9-4466-8479-88124BE3BC17}" type="parTrans" cxnId="{29471D5E-BE8A-4FDE-A787-57489971FF6F}">
      <dgm:prSet/>
      <dgm:spPr/>
      <dgm:t>
        <a:bodyPr/>
        <a:lstStyle/>
        <a:p>
          <a:endParaRPr lang="pl-PL"/>
        </a:p>
      </dgm:t>
    </dgm:pt>
    <dgm:pt modelId="{187F18F3-D3B7-4688-A6AC-122EEA8A34CA}" type="sibTrans" cxnId="{29471D5E-BE8A-4FDE-A787-57489971FF6F}">
      <dgm:prSet/>
      <dgm:spPr/>
      <dgm:t>
        <a:bodyPr/>
        <a:lstStyle/>
        <a:p>
          <a:endParaRPr lang="pl-PL"/>
        </a:p>
      </dgm:t>
    </dgm:pt>
    <dgm:pt modelId="{8D8CC056-267C-4088-8A07-5229A039AB3C}">
      <dgm:prSet phldrT="[Tekst]" custT="1"/>
      <dgm:spPr/>
      <dgm:t>
        <a:bodyPr/>
        <a:lstStyle/>
        <a:p>
          <a:r>
            <a:rPr lang="pl-PL" sz="1200">
              <a:latin typeface="Times New Roman" panose="02020603050405020304" pitchFamily="18" charset="0"/>
              <a:cs typeface="Times New Roman" panose="02020603050405020304" pitchFamily="18" charset="0"/>
            </a:rPr>
            <a:t>hydrogel matrix</a:t>
          </a:r>
        </a:p>
      </dgm:t>
    </dgm:pt>
    <dgm:pt modelId="{07D38161-E581-4C36-A150-309C09623E24}" type="parTrans" cxnId="{D84198CE-0937-46D7-80D9-C03B318C8E02}">
      <dgm:prSet/>
      <dgm:spPr/>
      <dgm:t>
        <a:bodyPr/>
        <a:lstStyle/>
        <a:p>
          <a:endParaRPr lang="pl-PL"/>
        </a:p>
      </dgm:t>
    </dgm:pt>
    <dgm:pt modelId="{44AB2BA5-2359-4B59-A30D-509D5172A0AB}" type="sibTrans" cxnId="{D84198CE-0937-46D7-80D9-C03B318C8E02}">
      <dgm:prSet/>
      <dgm:spPr/>
      <dgm:t>
        <a:bodyPr/>
        <a:lstStyle/>
        <a:p>
          <a:endParaRPr lang="pl-PL"/>
        </a:p>
      </dgm:t>
    </dgm:pt>
    <dgm:pt modelId="{05219210-1A82-4094-9928-3FEED4F039E2}" type="pres">
      <dgm:prSet presAssocID="{A65AADBA-AD05-482B-84B3-29FD23475CA1}" presName="composite" presStyleCnt="0">
        <dgm:presLayoutVars>
          <dgm:chMax val="5"/>
          <dgm:dir/>
          <dgm:resizeHandles val="exact"/>
        </dgm:presLayoutVars>
      </dgm:prSet>
      <dgm:spPr/>
    </dgm:pt>
    <dgm:pt modelId="{B7E164E6-5E8B-44CE-AA6D-6DF201520BE9}" type="pres">
      <dgm:prSet presAssocID="{988B9683-F069-4032-A48E-93DE9B4460F8}" presName="circle1" presStyleLbl="lnNode1" presStyleIdx="0" presStyleCnt="4"/>
      <dgm:spPr>
        <a:solidFill>
          <a:srgbClr val="FF0000"/>
        </a:solidFill>
      </dgm:spPr>
    </dgm:pt>
    <dgm:pt modelId="{6EE91D13-27E4-4A70-A913-CF82EDEAABBD}" type="pres">
      <dgm:prSet presAssocID="{988B9683-F069-4032-A48E-93DE9B4460F8}" presName="text1" presStyleLbl="revTx" presStyleIdx="0" presStyleCnt="4" custScaleX="137978" custLinFactNeighborX="32432" custLinFactNeighborY="115">
        <dgm:presLayoutVars>
          <dgm:bulletEnabled val="1"/>
        </dgm:presLayoutVars>
      </dgm:prSet>
      <dgm:spPr/>
    </dgm:pt>
    <dgm:pt modelId="{AA31224F-7DB1-41D1-854E-4DA334415C8B}" type="pres">
      <dgm:prSet presAssocID="{988B9683-F069-4032-A48E-93DE9B4460F8}" presName="line1" presStyleLbl="callout" presStyleIdx="0" presStyleCnt="8"/>
      <dgm:spPr/>
    </dgm:pt>
    <dgm:pt modelId="{3926B0D9-D25E-4B8F-82E1-F7041DBE4D4F}" type="pres">
      <dgm:prSet presAssocID="{988B9683-F069-4032-A48E-93DE9B4460F8}" presName="d1" presStyleLbl="callout" presStyleIdx="1" presStyleCnt="8"/>
      <dgm:spPr/>
    </dgm:pt>
    <dgm:pt modelId="{296EFD03-3D43-4A72-A2DE-4D86AE8CFEEB}" type="pres">
      <dgm:prSet presAssocID="{A46C4F3F-688D-4D5B-B207-9D1DF8D6B0C4}" presName="circle2" presStyleLbl="lnNode1" presStyleIdx="1" presStyleCnt="4"/>
      <dgm:spPr/>
    </dgm:pt>
    <dgm:pt modelId="{25258D12-9570-4B96-97D8-D1ED1D6BC045}" type="pres">
      <dgm:prSet presAssocID="{A46C4F3F-688D-4D5B-B207-9D1DF8D6B0C4}" presName="text2" presStyleLbl="revTx" presStyleIdx="1" presStyleCnt="4" custLinFactNeighborX="21622" custLinFactNeighborY="-12556">
        <dgm:presLayoutVars>
          <dgm:bulletEnabled val="1"/>
        </dgm:presLayoutVars>
      </dgm:prSet>
      <dgm:spPr/>
    </dgm:pt>
    <dgm:pt modelId="{CA512A65-B5C6-4215-B416-9B7BE7065DC2}" type="pres">
      <dgm:prSet presAssocID="{A46C4F3F-688D-4D5B-B207-9D1DF8D6B0C4}" presName="line2" presStyleLbl="callout" presStyleIdx="2" presStyleCnt="8"/>
      <dgm:spPr/>
    </dgm:pt>
    <dgm:pt modelId="{A2F25A41-BF28-419F-93E0-525907738BFE}" type="pres">
      <dgm:prSet presAssocID="{A46C4F3F-688D-4D5B-B207-9D1DF8D6B0C4}" presName="d2" presStyleLbl="callout" presStyleIdx="3" presStyleCnt="8"/>
      <dgm:spPr/>
    </dgm:pt>
    <dgm:pt modelId="{A2DF90A8-8973-4FCC-B33E-178406534A63}" type="pres">
      <dgm:prSet presAssocID="{71BFA8F1-D7FB-43FF-858F-1E3599BF76AF}" presName="circle3" presStyleLbl="lnNode1" presStyleIdx="2" presStyleCnt="4"/>
      <dgm:spPr/>
    </dgm:pt>
    <dgm:pt modelId="{8AB4963E-EE1C-444F-81BD-7AED883F3C89}" type="pres">
      <dgm:prSet presAssocID="{71BFA8F1-D7FB-43FF-858F-1E3599BF76AF}" presName="text3" presStyleLbl="revTx" presStyleIdx="2" presStyleCnt="4" custLinFactNeighborX="-3174" custLinFactNeighborY="-4498">
        <dgm:presLayoutVars>
          <dgm:bulletEnabled val="1"/>
        </dgm:presLayoutVars>
      </dgm:prSet>
      <dgm:spPr/>
    </dgm:pt>
    <dgm:pt modelId="{D3F41FCB-4B2E-46A4-9640-A05A17992AF0}" type="pres">
      <dgm:prSet presAssocID="{71BFA8F1-D7FB-43FF-858F-1E3599BF76AF}" presName="line3" presStyleLbl="callout" presStyleIdx="4" presStyleCnt="8"/>
      <dgm:spPr/>
    </dgm:pt>
    <dgm:pt modelId="{607BAB26-BFA4-46E2-B66D-6A6C555D9EAD}" type="pres">
      <dgm:prSet presAssocID="{71BFA8F1-D7FB-43FF-858F-1E3599BF76AF}" presName="d3" presStyleLbl="callout" presStyleIdx="5" presStyleCnt="8"/>
      <dgm:spPr/>
    </dgm:pt>
    <dgm:pt modelId="{0F6F0358-98F1-4B66-A942-9B1182452618}" type="pres">
      <dgm:prSet presAssocID="{8D8CC056-267C-4088-8A07-5229A039AB3C}" presName="circle4" presStyleLbl="lnNode1" presStyleIdx="3" presStyleCnt="4" custScaleX="179234" custScaleY="100110"/>
      <dgm:spPr/>
    </dgm:pt>
    <dgm:pt modelId="{DCF27EBC-CAA1-4007-A1CB-747DCD09EFBE}" type="pres">
      <dgm:prSet presAssocID="{8D8CC056-267C-4088-8A07-5229A039AB3C}" presName="text4" presStyleLbl="revTx" presStyleIdx="3" presStyleCnt="4" custLinFactNeighborX="1022" custLinFactNeighborY="8620">
        <dgm:presLayoutVars>
          <dgm:bulletEnabled val="1"/>
        </dgm:presLayoutVars>
      </dgm:prSet>
      <dgm:spPr/>
    </dgm:pt>
    <dgm:pt modelId="{5767D6C5-C628-4C95-AA7B-3DF5E3EE5C47}" type="pres">
      <dgm:prSet presAssocID="{8D8CC056-267C-4088-8A07-5229A039AB3C}" presName="line4" presStyleLbl="callout" presStyleIdx="6" presStyleCnt="8"/>
      <dgm:spPr/>
    </dgm:pt>
    <dgm:pt modelId="{07142368-6A55-4914-A367-252312B30975}" type="pres">
      <dgm:prSet presAssocID="{8D8CC056-267C-4088-8A07-5229A039AB3C}" presName="d4" presStyleLbl="callout" presStyleIdx="7" presStyleCnt="8"/>
      <dgm:spPr/>
    </dgm:pt>
  </dgm:ptLst>
  <dgm:cxnLst>
    <dgm:cxn modelId="{47469410-96C6-4F1B-859A-9EC610AC372A}" type="presOf" srcId="{A46C4F3F-688D-4D5B-B207-9D1DF8D6B0C4}" destId="{25258D12-9570-4B96-97D8-D1ED1D6BC045}" srcOrd="0" destOrd="0" presId="urn:microsoft.com/office/officeart/2005/8/layout/target1"/>
    <dgm:cxn modelId="{E55F1F38-C085-4FCC-8757-1CA5D57A3438}" srcId="{A65AADBA-AD05-482B-84B3-29FD23475CA1}" destId="{A46C4F3F-688D-4D5B-B207-9D1DF8D6B0C4}" srcOrd="1" destOrd="0" parTransId="{375311C6-6C03-46DE-AB84-0DDCCC211DA6}" sibTransId="{F501EC0A-5ECD-4D62-9DD7-29B778296D07}"/>
    <dgm:cxn modelId="{29471D5E-BE8A-4FDE-A787-57489971FF6F}" srcId="{A65AADBA-AD05-482B-84B3-29FD23475CA1}" destId="{71BFA8F1-D7FB-43FF-858F-1E3599BF76AF}" srcOrd="2" destOrd="0" parTransId="{C9743F01-FEF9-4466-8479-88124BE3BC17}" sibTransId="{187F18F3-D3B7-4688-A6AC-122EEA8A34CA}"/>
    <dgm:cxn modelId="{D84198CE-0937-46D7-80D9-C03B318C8E02}" srcId="{A65AADBA-AD05-482B-84B3-29FD23475CA1}" destId="{8D8CC056-267C-4088-8A07-5229A039AB3C}" srcOrd="3" destOrd="0" parTransId="{07D38161-E581-4C36-A150-309C09623E24}" sibTransId="{44AB2BA5-2359-4B59-A30D-509D5172A0AB}"/>
    <dgm:cxn modelId="{7CE617D2-C0DB-4CE8-B695-54C599FC968F}" srcId="{A65AADBA-AD05-482B-84B3-29FD23475CA1}" destId="{988B9683-F069-4032-A48E-93DE9B4460F8}" srcOrd="0" destOrd="0" parTransId="{D3914BB4-FCF3-430F-BB86-AE9125706F08}" sibTransId="{4DFE6A44-0141-4F1D-BD7C-C9E23DC1A53C}"/>
    <dgm:cxn modelId="{0B5088D6-3C7F-462D-82C9-B885C7E2C895}" type="presOf" srcId="{71BFA8F1-D7FB-43FF-858F-1E3599BF76AF}" destId="{8AB4963E-EE1C-444F-81BD-7AED883F3C89}" srcOrd="0" destOrd="0" presId="urn:microsoft.com/office/officeart/2005/8/layout/target1"/>
    <dgm:cxn modelId="{501839DB-10E6-4F04-9394-BB1D8D6797E7}" type="presOf" srcId="{988B9683-F069-4032-A48E-93DE9B4460F8}" destId="{6EE91D13-27E4-4A70-A913-CF82EDEAABBD}" srcOrd="0" destOrd="0" presId="urn:microsoft.com/office/officeart/2005/8/layout/target1"/>
    <dgm:cxn modelId="{667D3ADF-7C20-4AF0-9752-532E90EC92A7}" type="presOf" srcId="{A65AADBA-AD05-482B-84B3-29FD23475CA1}" destId="{05219210-1A82-4094-9928-3FEED4F039E2}" srcOrd="0" destOrd="0" presId="urn:microsoft.com/office/officeart/2005/8/layout/target1"/>
    <dgm:cxn modelId="{CE3886F9-726F-4995-AC61-A9F765885392}" type="presOf" srcId="{8D8CC056-267C-4088-8A07-5229A039AB3C}" destId="{DCF27EBC-CAA1-4007-A1CB-747DCD09EFBE}" srcOrd="0" destOrd="0" presId="urn:microsoft.com/office/officeart/2005/8/layout/target1"/>
    <dgm:cxn modelId="{485316F6-25AD-48F3-97A7-FAA222193EDD}" type="presParOf" srcId="{05219210-1A82-4094-9928-3FEED4F039E2}" destId="{B7E164E6-5E8B-44CE-AA6D-6DF201520BE9}" srcOrd="0" destOrd="0" presId="urn:microsoft.com/office/officeart/2005/8/layout/target1"/>
    <dgm:cxn modelId="{F5CDB1EB-92BA-4D86-BEFB-5BD7F6B11D30}" type="presParOf" srcId="{05219210-1A82-4094-9928-3FEED4F039E2}" destId="{6EE91D13-27E4-4A70-A913-CF82EDEAABBD}" srcOrd="1" destOrd="0" presId="urn:microsoft.com/office/officeart/2005/8/layout/target1"/>
    <dgm:cxn modelId="{C2CC4E71-9115-4211-A069-785EB2E695FB}" type="presParOf" srcId="{05219210-1A82-4094-9928-3FEED4F039E2}" destId="{AA31224F-7DB1-41D1-854E-4DA334415C8B}" srcOrd="2" destOrd="0" presId="urn:microsoft.com/office/officeart/2005/8/layout/target1"/>
    <dgm:cxn modelId="{BBDA022B-2C84-4794-B645-01E4036EE4BF}" type="presParOf" srcId="{05219210-1A82-4094-9928-3FEED4F039E2}" destId="{3926B0D9-D25E-4B8F-82E1-F7041DBE4D4F}" srcOrd="3" destOrd="0" presId="urn:microsoft.com/office/officeart/2005/8/layout/target1"/>
    <dgm:cxn modelId="{5B586A66-F1BC-418F-B4CA-1EADD2ADE0E2}" type="presParOf" srcId="{05219210-1A82-4094-9928-3FEED4F039E2}" destId="{296EFD03-3D43-4A72-A2DE-4D86AE8CFEEB}" srcOrd="4" destOrd="0" presId="urn:microsoft.com/office/officeart/2005/8/layout/target1"/>
    <dgm:cxn modelId="{103D0042-BDA2-4CBA-AB2D-05994B7EB78B}" type="presParOf" srcId="{05219210-1A82-4094-9928-3FEED4F039E2}" destId="{25258D12-9570-4B96-97D8-D1ED1D6BC045}" srcOrd="5" destOrd="0" presId="urn:microsoft.com/office/officeart/2005/8/layout/target1"/>
    <dgm:cxn modelId="{868C4925-8268-474A-8941-45967B7903B2}" type="presParOf" srcId="{05219210-1A82-4094-9928-3FEED4F039E2}" destId="{CA512A65-B5C6-4215-B416-9B7BE7065DC2}" srcOrd="6" destOrd="0" presId="urn:microsoft.com/office/officeart/2005/8/layout/target1"/>
    <dgm:cxn modelId="{F82CC99B-8486-462D-8C38-543048D72B8C}" type="presParOf" srcId="{05219210-1A82-4094-9928-3FEED4F039E2}" destId="{A2F25A41-BF28-419F-93E0-525907738BFE}" srcOrd="7" destOrd="0" presId="urn:microsoft.com/office/officeart/2005/8/layout/target1"/>
    <dgm:cxn modelId="{F5E9F56A-78EF-4B64-8B4B-562F5861EAB4}" type="presParOf" srcId="{05219210-1A82-4094-9928-3FEED4F039E2}" destId="{A2DF90A8-8973-4FCC-B33E-178406534A63}" srcOrd="8" destOrd="0" presId="urn:microsoft.com/office/officeart/2005/8/layout/target1"/>
    <dgm:cxn modelId="{9B7A8ADE-C9BF-42A0-902A-3F8CFDF6F6A3}" type="presParOf" srcId="{05219210-1A82-4094-9928-3FEED4F039E2}" destId="{8AB4963E-EE1C-444F-81BD-7AED883F3C89}" srcOrd="9" destOrd="0" presId="urn:microsoft.com/office/officeart/2005/8/layout/target1"/>
    <dgm:cxn modelId="{AE1C190E-52D4-48FE-B400-5924A6DB9DAE}" type="presParOf" srcId="{05219210-1A82-4094-9928-3FEED4F039E2}" destId="{D3F41FCB-4B2E-46A4-9640-A05A17992AF0}" srcOrd="10" destOrd="0" presId="urn:microsoft.com/office/officeart/2005/8/layout/target1"/>
    <dgm:cxn modelId="{63763076-60A9-4758-BFDF-5E2B5B1A3902}" type="presParOf" srcId="{05219210-1A82-4094-9928-3FEED4F039E2}" destId="{607BAB26-BFA4-46E2-B66D-6A6C555D9EAD}" srcOrd="11" destOrd="0" presId="urn:microsoft.com/office/officeart/2005/8/layout/target1"/>
    <dgm:cxn modelId="{64C91986-7693-4B06-88D2-9FEDC1F3703F}" type="presParOf" srcId="{05219210-1A82-4094-9928-3FEED4F039E2}" destId="{0F6F0358-98F1-4B66-A942-9B1182452618}" srcOrd="12" destOrd="0" presId="urn:microsoft.com/office/officeart/2005/8/layout/target1"/>
    <dgm:cxn modelId="{B2ADB1A8-0402-4EB4-A012-5AE101B88236}" type="presParOf" srcId="{05219210-1A82-4094-9928-3FEED4F039E2}" destId="{DCF27EBC-CAA1-4007-A1CB-747DCD09EFBE}" srcOrd="13" destOrd="0" presId="urn:microsoft.com/office/officeart/2005/8/layout/target1"/>
    <dgm:cxn modelId="{2F539C23-B1E4-4691-8C7B-BECAB10CB7D6}" type="presParOf" srcId="{05219210-1A82-4094-9928-3FEED4F039E2}" destId="{5767D6C5-C628-4C95-AA7B-3DF5E3EE5C47}" srcOrd="14" destOrd="0" presId="urn:microsoft.com/office/officeart/2005/8/layout/target1"/>
    <dgm:cxn modelId="{42F0A63A-1C7C-4EC7-B538-74B5986CEC3A}" type="presParOf" srcId="{05219210-1A82-4094-9928-3FEED4F039E2}" destId="{07142368-6A55-4914-A367-252312B30975}" srcOrd="15" destOrd="0" presId="urn:microsoft.com/office/officeart/2005/8/layout/targe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F0358-98F1-4B66-A942-9B1182452618}">
      <dsp:nvSpPr>
        <dsp:cNvPr id="0" name=""/>
        <dsp:cNvSpPr/>
      </dsp:nvSpPr>
      <dsp:spPr>
        <a:xfrm>
          <a:off x="1382853" y="512601"/>
          <a:ext cx="2763109" cy="1543317"/>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threePt" dir="t">
            <a:rot lat="0" lon="0" rev="7500000"/>
          </a:lightRig>
        </a:scene3d>
        <a:sp3d prstMaterial="plastic">
          <a:bevelT w="127000" h="25400" prst="relaxedInset"/>
        </a:sp3d>
      </dsp:spPr>
      <dsp:style>
        <a:lnRef idx="1">
          <a:scrgbClr r="0" g="0" b="0"/>
        </a:lnRef>
        <a:fillRef idx="3">
          <a:scrgbClr r="0" g="0" b="0"/>
        </a:fillRef>
        <a:effectRef idx="2">
          <a:scrgbClr r="0" g="0" b="0"/>
        </a:effectRef>
        <a:fontRef idx="minor">
          <a:schemeClr val="lt1"/>
        </a:fontRef>
      </dsp:style>
    </dsp:sp>
    <dsp:sp modelId="{A2DF90A8-8973-4FCC-B33E-178406534A63}">
      <dsp:nvSpPr>
        <dsp:cNvPr id="0" name=""/>
        <dsp:cNvSpPr/>
      </dsp:nvSpPr>
      <dsp:spPr>
        <a:xfrm>
          <a:off x="2213921" y="733773"/>
          <a:ext cx="1100974" cy="110097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threePt" dir="t">
            <a:rot lat="0" lon="0" rev="7500000"/>
          </a:lightRig>
        </a:scene3d>
        <a:sp3d prstMaterial="plastic">
          <a:bevelT w="127000" h="25400" prst="relaxedInset"/>
        </a:sp3d>
      </dsp:spPr>
      <dsp:style>
        <a:lnRef idx="1">
          <a:scrgbClr r="0" g="0" b="0"/>
        </a:lnRef>
        <a:fillRef idx="3">
          <a:scrgbClr r="0" g="0" b="0"/>
        </a:fillRef>
        <a:effectRef idx="2">
          <a:scrgbClr r="0" g="0" b="0"/>
        </a:effectRef>
        <a:fontRef idx="minor">
          <a:schemeClr val="lt1"/>
        </a:fontRef>
      </dsp:style>
    </dsp:sp>
    <dsp:sp modelId="{296EFD03-3D43-4A72-A2DE-4D86AE8CFEEB}">
      <dsp:nvSpPr>
        <dsp:cNvPr id="0" name=""/>
        <dsp:cNvSpPr/>
      </dsp:nvSpPr>
      <dsp:spPr>
        <a:xfrm>
          <a:off x="2434116" y="953968"/>
          <a:ext cx="660584" cy="660584"/>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threePt" dir="t">
            <a:rot lat="0" lon="0" rev="7500000"/>
          </a:lightRig>
        </a:scene3d>
        <a:sp3d prstMaterial="plastic">
          <a:bevelT w="127000" h="25400" prst="relaxedInset"/>
        </a:sp3d>
      </dsp:spPr>
      <dsp:style>
        <a:lnRef idx="1">
          <a:scrgbClr r="0" g="0" b="0"/>
        </a:lnRef>
        <a:fillRef idx="3">
          <a:scrgbClr r="0" g="0" b="0"/>
        </a:fillRef>
        <a:effectRef idx="2">
          <a:scrgbClr r="0" g="0" b="0"/>
        </a:effectRef>
        <a:fontRef idx="minor">
          <a:schemeClr val="lt1"/>
        </a:fontRef>
      </dsp:style>
    </dsp:sp>
    <dsp:sp modelId="{B7E164E6-5E8B-44CE-AA6D-6DF201520BE9}">
      <dsp:nvSpPr>
        <dsp:cNvPr id="0" name=""/>
        <dsp:cNvSpPr/>
      </dsp:nvSpPr>
      <dsp:spPr>
        <a:xfrm>
          <a:off x="2654311" y="1174162"/>
          <a:ext cx="220194" cy="220194"/>
        </a:xfrm>
        <a:prstGeom prst="ellipse">
          <a:avLst/>
        </a:prstGeom>
        <a:solidFill>
          <a:srgbClr val="FF0000"/>
        </a:solidFill>
        <a:ln w="6350" cap="flat" cmpd="sng" algn="ctr">
          <a:solidFill>
            <a:schemeClr val="lt1">
              <a:hueOff val="0"/>
              <a:satOff val="0"/>
              <a:lumOff val="0"/>
              <a:alphaOff val="0"/>
            </a:schemeClr>
          </a:solidFill>
          <a:prstDash val="solid"/>
          <a:miter lim="800000"/>
        </a:ln>
        <a:effectLst/>
        <a:scene3d>
          <a:camera prst="orthographicFront"/>
          <a:lightRig rig="threePt" dir="t">
            <a:rot lat="0" lon="0" rev="7500000"/>
          </a:lightRig>
        </a:scene3d>
        <a:sp3d prstMaterial="plastic">
          <a:bevelT w="127000" h="25400" prst="relaxedInset"/>
        </a:sp3d>
      </dsp:spPr>
      <dsp:style>
        <a:lnRef idx="1">
          <a:scrgbClr r="0" g="0" b="0"/>
        </a:lnRef>
        <a:fillRef idx="3">
          <a:scrgbClr r="0" g="0" b="0"/>
        </a:fillRef>
        <a:effectRef idx="2">
          <a:scrgbClr r="0" g="0" b="0"/>
        </a:effectRef>
        <a:fontRef idx="minor">
          <a:schemeClr val="lt1"/>
        </a:fontRef>
      </dsp:style>
    </dsp:sp>
    <dsp:sp modelId="{6EE91D13-27E4-4A70-A913-CF82EDEAABBD}">
      <dsp:nvSpPr>
        <dsp:cNvPr id="0" name=""/>
        <dsp:cNvSpPr/>
      </dsp:nvSpPr>
      <dsp:spPr>
        <a:xfrm>
          <a:off x="3895776" y="0"/>
          <a:ext cx="1063549" cy="368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pl-PL" sz="1200" kern="1200">
              <a:latin typeface="Times New Roman" panose="02020603050405020304" pitchFamily="18" charset="0"/>
              <a:cs typeface="Times New Roman" panose="02020603050405020304" pitchFamily="18" charset="0"/>
            </a:rPr>
            <a:t>active compund</a:t>
          </a:r>
        </a:p>
      </dsp:txBody>
      <dsp:txXfrm>
        <a:off x="3895776" y="0"/>
        <a:ext cx="1063549" cy="368704"/>
      </dsp:txXfrm>
    </dsp:sp>
    <dsp:sp modelId="{AA31224F-7DB1-41D1-854E-4DA334415C8B}">
      <dsp:nvSpPr>
        <dsp:cNvPr id="0" name=""/>
        <dsp:cNvSpPr/>
      </dsp:nvSpPr>
      <dsp:spPr>
        <a:xfrm>
          <a:off x="3599453" y="183928"/>
          <a:ext cx="192702"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3926B0D9-D25E-4B8F-82E1-F7041DBE4D4F}">
      <dsp:nvSpPr>
        <dsp:cNvPr id="0" name=""/>
        <dsp:cNvSpPr/>
      </dsp:nvSpPr>
      <dsp:spPr>
        <a:xfrm rot="5400000">
          <a:off x="2630801" y="305330"/>
          <a:ext cx="1089412" cy="847891"/>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25258D12-9570-4B96-97D8-D1ED1D6BC045}">
      <dsp:nvSpPr>
        <dsp:cNvPr id="0" name=""/>
        <dsp:cNvSpPr/>
      </dsp:nvSpPr>
      <dsp:spPr>
        <a:xfrm>
          <a:off x="3958820" y="321985"/>
          <a:ext cx="770810" cy="368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pl-PL" sz="1200" kern="1200">
              <a:latin typeface="Times New Roman" panose="02020603050405020304" pitchFamily="18" charset="0"/>
              <a:cs typeface="Times New Roman" panose="02020603050405020304" pitchFamily="18" charset="0"/>
            </a:rPr>
            <a:t>oil phase</a:t>
          </a:r>
        </a:p>
      </dsp:txBody>
      <dsp:txXfrm>
        <a:off x="3958820" y="321985"/>
        <a:ext cx="770810" cy="368704"/>
      </dsp:txXfrm>
    </dsp:sp>
    <dsp:sp modelId="{CA512A65-B5C6-4215-B416-9B7BE7065DC2}">
      <dsp:nvSpPr>
        <dsp:cNvPr id="0" name=""/>
        <dsp:cNvSpPr/>
      </dsp:nvSpPr>
      <dsp:spPr>
        <a:xfrm>
          <a:off x="3599453" y="552632"/>
          <a:ext cx="192702"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A2F25A41-BF28-419F-93E0-525907738BFE}">
      <dsp:nvSpPr>
        <dsp:cNvPr id="0" name=""/>
        <dsp:cNvSpPr/>
      </dsp:nvSpPr>
      <dsp:spPr>
        <a:xfrm rot="5400000">
          <a:off x="2819393" y="667997"/>
          <a:ext cx="894654" cy="664181"/>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8AB4963E-EE1C-444F-81BD-7AED883F3C89}">
      <dsp:nvSpPr>
        <dsp:cNvPr id="0" name=""/>
        <dsp:cNvSpPr/>
      </dsp:nvSpPr>
      <dsp:spPr>
        <a:xfrm>
          <a:off x="3767690" y="720400"/>
          <a:ext cx="770810" cy="368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pl-PL" sz="1200" kern="1200">
              <a:latin typeface="Times New Roman" panose="02020603050405020304" pitchFamily="18" charset="0"/>
              <a:cs typeface="Times New Roman" panose="02020603050405020304" pitchFamily="18" charset="0"/>
            </a:rPr>
            <a:t>water phase</a:t>
          </a:r>
        </a:p>
      </dsp:txBody>
      <dsp:txXfrm>
        <a:off x="3767690" y="720400"/>
        <a:ext cx="770810" cy="368704"/>
      </dsp:txXfrm>
    </dsp:sp>
    <dsp:sp modelId="{D3F41FCB-4B2E-46A4-9640-A05A17992AF0}">
      <dsp:nvSpPr>
        <dsp:cNvPr id="0" name=""/>
        <dsp:cNvSpPr/>
      </dsp:nvSpPr>
      <dsp:spPr>
        <a:xfrm>
          <a:off x="3599453" y="921337"/>
          <a:ext cx="192702"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607BAB26-BFA4-46E2-B66D-6A6C555D9EAD}">
      <dsp:nvSpPr>
        <dsp:cNvPr id="0" name=""/>
        <dsp:cNvSpPr/>
      </dsp:nvSpPr>
      <dsp:spPr>
        <a:xfrm rot="5400000">
          <a:off x="3001946" y="1005997"/>
          <a:ext cx="682424" cy="512589"/>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DCF27EBC-CAA1-4007-A1CB-747DCD09EFBE}">
      <dsp:nvSpPr>
        <dsp:cNvPr id="0" name=""/>
        <dsp:cNvSpPr/>
      </dsp:nvSpPr>
      <dsp:spPr>
        <a:xfrm>
          <a:off x="3800033" y="1137471"/>
          <a:ext cx="770810" cy="368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15240" rIns="15240" bIns="15240" numCol="1" spcCol="1270" anchor="ctr" anchorCtr="0">
          <a:noAutofit/>
        </a:bodyPr>
        <a:lstStyle/>
        <a:p>
          <a:pPr marL="0" lvl="0" indent="0" algn="l" defTabSz="533400">
            <a:lnSpc>
              <a:spcPct val="90000"/>
            </a:lnSpc>
            <a:spcBef>
              <a:spcPct val="0"/>
            </a:spcBef>
            <a:spcAft>
              <a:spcPct val="35000"/>
            </a:spcAft>
            <a:buNone/>
          </a:pPr>
          <a:r>
            <a:rPr lang="pl-PL" sz="1200" kern="1200">
              <a:latin typeface="Times New Roman" panose="02020603050405020304" pitchFamily="18" charset="0"/>
              <a:cs typeface="Times New Roman" panose="02020603050405020304" pitchFamily="18" charset="0"/>
            </a:rPr>
            <a:t>hydrogel matrix</a:t>
          </a:r>
        </a:p>
      </dsp:txBody>
      <dsp:txXfrm>
        <a:off x="3800033" y="1137471"/>
        <a:ext cx="770810" cy="368704"/>
      </dsp:txXfrm>
    </dsp:sp>
    <dsp:sp modelId="{5767D6C5-C628-4C95-AA7B-3DF5E3EE5C47}">
      <dsp:nvSpPr>
        <dsp:cNvPr id="0" name=""/>
        <dsp:cNvSpPr/>
      </dsp:nvSpPr>
      <dsp:spPr>
        <a:xfrm>
          <a:off x="3599453" y="1290041"/>
          <a:ext cx="192702"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07142368-6A55-4914-A367-252312B30975}">
      <dsp:nvSpPr>
        <dsp:cNvPr id="0" name=""/>
        <dsp:cNvSpPr/>
      </dsp:nvSpPr>
      <dsp:spPr>
        <a:xfrm rot="5400000">
          <a:off x="3184937" y="1345334"/>
          <a:ext cx="469063" cy="35817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E01A-DC7A-4478-B2F4-5EA2E812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2</Pages>
  <Words>1322</Words>
  <Characters>7933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Jarzębski Maciej</dc:creator>
  <cp:keywords/>
  <dc:description/>
  <cp:lastModifiedBy>Jarzębski Maciej</cp:lastModifiedBy>
  <cp:revision>1</cp:revision>
  <dcterms:created xsi:type="dcterms:W3CDTF">2024-12-29T14:20:00Z</dcterms:created>
  <dcterms:modified xsi:type="dcterms:W3CDTF">2024-12-31T18:48:00Z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86c7c92b-7334-3e78-b292-c9d0995543b3</vt:lpwstr>
  </property>
</Properties>
</file>