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113B0" w14:textId="77777777" w:rsidR="000567F1" w:rsidRDefault="000567F1" w:rsidP="000567F1">
      <w:pPr>
        <w:spacing w:line="216" w:lineRule="auto"/>
        <w:jc w:val="both"/>
        <w:rPr>
          <w:rFonts w:ascii="Arial" w:hAnsi="Arial" w:cs="Arial"/>
          <w:b/>
          <w:bCs/>
          <w:sz w:val="32"/>
          <w:szCs w:val="32"/>
        </w:rPr>
      </w:pPr>
      <w:r w:rsidRPr="000567F1">
        <w:rPr>
          <w:rFonts w:ascii="Arial" w:hAnsi="Arial" w:cs="Arial"/>
          <w:b/>
          <w:bCs/>
          <w:sz w:val="32"/>
          <w:szCs w:val="32"/>
        </w:rPr>
        <w:t xml:space="preserve">The Effect of Fish Protein Hydrolysate </w:t>
      </w:r>
      <w:proofErr w:type="spellStart"/>
      <w:r w:rsidRPr="000567F1">
        <w:rPr>
          <w:rFonts w:ascii="Arial" w:hAnsi="Arial" w:cs="Arial"/>
          <w:b/>
          <w:bCs/>
          <w:i/>
          <w:iCs/>
          <w:sz w:val="32"/>
          <w:szCs w:val="32"/>
        </w:rPr>
        <w:t>Krytopterus</w:t>
      </w:r>
      <w:proofErr w:type="spellEnd"/>
      <w:r w:rsidRPr="000567F1">
        <w:rPr>
          <w:rFonts w:ascii="Arial" w:hAnsi="Arial" w:cs="Arial"/>
          <w:b/>
          <w:bCs/>
          <w:i/>
          <w:iCs/>
          <w:sz w:val="32"/>
          <w:szCs w:val="32"/>
        </w:rPr>
        <w:t xml:space="preserve"> </w:t>
      </w:r>
      <w:proofErr w:type="spellStart"/>
      <w:r w:rsidRPr="000567F1">
        <w:rPr>
          <w:rFonts w:ascii="Arial" w:hAnsi="Arial" w:cs="Arial"/>
          <w:b/>
          <w:bCs/>
          <w:i/>
          <w:iCs/>
          <w:sz w:val="32"/>
          <w:szCs w:val="32"/>
        </w:rPr>
        <w:t>Spp</w:t>
      </w:r>
      <w:proofErr w:type="spellEnd"/>
      <w:r w:rsidRPr="000567F1">
        <w:rPr>
          <w:rFonts w:ascii="Arial" w:hAnsi="Arial" w:cs="Arial"/>
          <w:b/>
          <w:bCs/>
          <w:i/>
          <w:iCs/>
          <w:sz w:val="32"/>
          <w:szCs w:val="32"/>
        </w:rPr>
        <w:t xml:space="preserve"> </w:t>
      </w:r>
      <w:r w:rsidRPr="000567F1">
        <w:rPr>
          <w:rFonts w:ascii="Arial" w:hAnsi="Arial" w:cs="Arial"/>
          <w:b/>
          <w:bCs/>
          <w:sz w:val="32"/>
          <w:szCs w:val="32"/>
        </w:rPr>
        <w:t xml:space="preserve">On Body Weight, Total Protein </w:t>
      </w:r>
      <w:proofErr w:type="gramStart"/>
      <w:r w:rsidRPr="000567F1">
        <w:rPr>
          <w:rFonts w:ascii="Arial" w:hAnsi="Arial" w:cs="Arial"/>
          <w:b/>
          <w:bCs/>
          <w:sz w:val="32"/>
          <w:szCs w:val="32"/>
        </w:rPr>
        <w:t>And</w:t>
      </w:r>
      <w:proofErr w:type="gramEnd"/>
      <w:r w:rsidRPr="000567F1">
        <w:rPr>
          <w:rFonts w:ascii="Arial" w:hAnsi="Arial" w:cs="Arial"/>
          <w:b/>
          <w:bCs/>
          <w:sz w:val="32"/>
          <w:szCs w:val="32"/>
        </w:rPr>
        <w:t xml:space="preserve"> Albumin Level In </w:t>
      </w:r>
      <w:r w:rsidRPr="000567F1">
        <w:rPr>
          <w:rFonts w:ascii="Arial" w:hAnsi="Arial" w:cs="Arial"/>
          <w:b/>
          <w:bCs/>
          <w:i/>
          <w:iCs/>
          <w:sz w:val="32"/>
          <w:szCs w:val="32"/>
        </w:rPr>
        <w:t xml:space="preserve">Rattus </w:t>
      </w:r>
      <w:proofErr w:type="spellStart"/>
      <w:r w:rsidRPr="000567F1">
        <w:rPr>
          <w:rFonts w:ascii="Arial" w:hAnsi="Arial" w:cs="Arial"/>
          <w:b/>
          <w:bCs/>
          <w:i/>
          <w:iCs/>
          <w:sz w:val="32"/>
          <w:szCs w:val="32"/>
        </w:rPr>
        <w:t>Novergicus</w:t>
      </w:r>
      <w:proofErr w:type="spellEnd"/>
      <w:r w:rsidRPr="000567F1">
        <w:rPr>
          <w:rFonts w:ascii="Arial" w:hAnsi="Arial" w:cs="Arial"/>
          <w:b/>
          <w:bCs/>
          <w:sz w:val="32"/>
          <w:szCs w:val="32"/>
        </w:rPr>
        <w:t xml:space="preserve"> Stunting Models</w:t>
      </w:r>
    </w:p>
    <w:p w14:paraId="47730B18" w14:textId="77777777" w:rsidR="000567F1" w:rsidRDefault="000567F1" w:rsidP="000567F1">
      <w:pPr>
        <w:pStyle w:val="PaperAuthor"/>
        <w:spacing w:line="240" w:lineRule="auto"/>
        <w:jc w:val="left"/>
        <w:rPr>
          <w:b/>
          <w:lang w:val="en-GB"/>
        </w:rPr>
      </w:pPr>
      <w:proofErr w:type="spellStart"/>
      <w:r w:rsidRPr="000567F1">
        <w:rPr>
          <w:b/>
          <w:u w:val="single"/>
          <w:lang w:val="en-GB"/>
        </w:rPr>
        <w:t>Hanis</w:t>
      </w:r>
      <w:proofErr w:type="spellEnd"/>
      <w:r w:rsidRPr="000567F1">
        <w:rPr>
          <w:b/>
          <w:u w:val="single"/>
          <w:lang w:val="en-GB"/>
        </w:rPr>
        <w:t xml:space="preserve"> </w:t>
      </w:r>
      <w:proofErr w:type="spellStart"/>
      <w:r w:rsidRPr="000567F1">
        <w:rPr>
          <w:b/>
          <w:u w:val="single"/>
          <w:lang w:val="en-GB"/>
        </w:rPr>
        <w:t>Kusumawati</w:t>
      </w:r>
      <w:proofErr w:type="spellEnd"/>
      <w:r w:rsidRPr="000567F1">
        <w:rPr>
          <w:b/>
          <w:u w:val="single"/>
          <w:lang w:val="en-GB"/>
        </w:rPr>
        <w:t xml:space="preserve"> Rahayu</w:t>
      </w:r>
      <w:r w:rsidRPr="000567F1">
        <w:rPr>
          <w:b/>
          <w:lang w:val="en-GB"/>
        </w:rPr>
        <w:t xml:space="preserve"> </w:t>
      </w:r>
      <w:r w:rsidRPr="000567F1">
        <w:rPr>
          <w:b/>
          <w:vertAlign w:val="superscript"/>
          <w:lang w:val="en-GB"/>
        </w:rPr>
        <w:t xml:space="preserve">1 </w:t>
      </w:r>
      <w:r w:rsidRPr="000567F1">
        <w:rPr>
          <w:b/>
          <w:lang w:val="en-GB"/>
        </w:rPr>
        <w:t xml:space="preserve">* </w:t>
      </w:r>
      <w:r w:rsidRPr="000567F1">
        <w:rPr>
          <w:noProof/>
          <w:position w:val="-4"/>
          <w:lang w:val="tr-TR" w:eastAsia="tr-TR"/>
        </w:rPr>
        <w:drawing>
          <wp:inline distT="0" distB="0" distL="0" distR="0" wp14:anchorId="237D8172" wp14:editId="20DBB135">
            <wp:extent cx="144000" cy="144000"/>
            <wp:effectExtent l="0" t="0" r="8890" b="8890"/>
            <wp:docPr id="2" name="Resim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5"/>
                    </pic:cNvP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92438"/>
                    <a:stretch/>
                  </pic:blipFill>
                  <pic:spPr bwMode="auto">
                    <a:xfrm>
                      <a:off x="0" y="0"/>
                      <a:ext cx="144000"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0567F1">
        <w:rPr>
          <w:b/>
          <w:lang w:val="en-GB"/>
        </w:rPr>
        <w:t xml:space="preserve">, Siti </w:t>
      </w:r>
      <w:proofErr w:type="spellStart"/>
      <w:r w:rsidRPr="000567F1">
        <w:rPr>
          <w:b/>
          <w:lang w:val="en-GB"/>
        </w:rPr>
        <w:t>Khotimah</w:t>
      </w:r>
      <w:proofErr w:type="spellEnd"/>
      <w:r w:rsidRPr="000567F1">
        <w:rPr>
          <w:b/>
          <w:lang w:val="en-GB"/>
        </w:rPr>
        <w:t xml:space="preserve"> </w:t>
      </w:r>
      <w:r w:rsidRPr="000567F1">
        <w:rPr>
          <w:b/>
          <w:vertAlign w:val="superscript"/>
          <w:lang w:val="en-GB"/>
        </w:rPr>
        <w:t xml:space="preserve">2 </w:t>
      </w:r>
      <w:r w:rsidRPr="000567F1">
        <w:rPr>
          <w:noProof/>
          <w:position w:val="-4"/>
          <w:lang w:val="tr-TR" w:eastAsia="tr-TR"/>
        </w:rPr>
        <w:drawing>
          <wp:inline distT="0" distB="0" distL="0" distR="0" wp14:anchorId="2729F9F9" wp14:editId="10679662">
            <wp:extent cx="144000" cy="144000"/>
            <wp:effectExtent l="0" t="0" r="8890" b="8890"/>
            <wp:docPr id="5" name="Resim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7"/>
                    </pic:cNvP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92438"/>
                    <a:stretch/>
                  </pic:blipFill>
                  <pic:spPr bwMode="auto">
                    <a:xfrm>
                      <a:off x="0" y="0"/>
                      <a:ext cx="144000"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0567F1">
        <w:rPr>
          <w:b/>
          <w:lang w:val="en-GB"/>
        </w:rPr>
        <w:t xml:space="preserve"> Ika Fikriah</w:t>
      </w:r>
      <w:r w:rsidRPr="000567F1">
        <w:rPr>
          <w:b/>
          <w:vertAlign w:val="superscript"/>
          <w:lang w:val="en-GB"/>
        </w:rPr>
        <w:t>3</w:t>
      </w:r>
      <w:r w:rsidRPr="000567F1">
        <w:rPr>
          <w:b/>
          <w:lang w:val="en-GB"/>
        </w:rPr>
        <w:t xml:space="preserve"> </w:t>
      </w:r>
      <w:r w:rsidRPr="000567F1">
        <w:rPr>
          <w:noProof/>
          <w:position w:val="-4"/>
          <w:lang w:val="tr-TR" w:eastAsia="tr-TR"/>
        </w:rPr>
        <w:drawing>
          <wp:inline distT="0" distB="0" distL="0" distR="0" wp14:anchorId="7100E7AB" wp14:editId="4AC4828E">
            <wp:extent cx="144000" cy="144000"/>
            <wp:effectExtent l="0" t="0" r="8890" b="8890"/>
            <wp:docPr id="113044980" name="Resim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44980" name="Resim 5">
                      <a:hlinkClick r:id="rId8"/>
                    </pic:cNvP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92438"/>
                    <a:stretch/>
                  </pic:blipFill>
                  <pic:spPr bwMode="auto">
                    <a:xfrm>
                      <a:off x="0" y="0"/>
                      <a:ext cx="144000" cy="144000"/>
                    </a:xfrm>
                    <a:prstGeom prst="rect">
                      <a:avLst/>
                    </a:prstGeom>
                    <a:noFill/>
                    <a:ln>
                      <a:noFill/>
                    </a:ln>
                    <a:extLst>
                      <a:ext uri="{53640926-AAD7-44D8-BBD7-CCE9431645EC}">
                        <a14:shadowObscured xmlns:a14="http://schemas.microsoft.com/office/drawing/2010/main"/>
                      </a:ext>
                    </a:extLst>
                  </pic:spPr>
                </pic:pic>
              </a:graphicData>
            </a:graphic>
          </wp:inline>
        </w:drawing>
      </w:r>
    </w:p>
    <w:p w14:paraId="14921CD9" w14:textId="77777777" w:rsidR="000567F1" w:rsidRPr="000567F1" w:rsidRDefault="000567F1" w:rsidP="000567F1"/>
    <w:p w14:paraId="2663523E" w14:textId="77777777" w:rsidR="000567F1" w:rsidRPr="000567F1" w:rsidRDefault="000567F1" w:rsidP="000567F1">
      <w:pPr>
        <w:pStyle w:val="Affiliation"/>
        <w:spacing w:line="240" w:lineRule="auto"/>
        <w:ind w:left="426" w:hanging="284"/>
        <w:jc w:val="left"/>
        <w:rPr>
          <w:i/>
          <w:iCs/>
          <w:sz w:val="22"/>
          <w:szCs w:val="22"/>
          <w:lang w:val="en-GB"/>
        </w:rPr>
      </w:pPr>
      <w:r w:rsidRPr="000567F1">
        <w:rPr>
          <w:i/>
          <w:iCs/>
          <w:sz w:val="22"/>
          <w:szCs w:val="22"/>
          <w:vertAlign w:val="superscript"/>
          <w:lang w:val="en-GB"/>
        </w:rPr>
        <w:t xml:space="preserve">1 </w:t>
      </w:r>
      <w:r w:rsidRPr="000567F1">
        <w:rPr>
          <w:i/>
          <w:iCs/>
          <w:sz w:val="22"/>
          <w:szCs w:val="22"/>
          <w:vertAlign w:val="superscript"/>
          <w:lang w:val="en-GB"/>
        </w:rPr>
        <w:tab/>
      </w:r>
      <w:r w:rsidRPr="000567F1">
        <w:rPr>
          <w:i/>
          <w:iCs/>
          <w:sz w:val="22"/>
          <w:szCs w:val="22"/>
          <w:lang w:val="en-GB"/>
        </w:rPr>
        <w:t xml:space="preserve">Department of Public Health, Faculty of Medicine, </w:t>
      </w:r>
      <w:proofErr w:type="spellStart"/>
      <w:r w:rsidRPr="000567F1">
        <w:rPr>
          <w:i/>
          <w:iCs/>
          <w:sz w:val="22"/>
          <w:szCs w:val="22"/>
          <w:lang w:val="en-GB"/>
        </w:rPr>
        <w:t>Mulawarman</w:t>
      </w:r>
      <w:proofErr w:type="spellEnd"/>
      <w:r w:rsidRPr="000567F1">
        <w:rPr>
          <w:i/>
          <w:iCs/>
          <w:sz w:val="22"/>
          <w:szCs w:val="22"/>
          <w:lang w:val="en-GB"/>
        </w:rPr>
        <w:t xml:space="preserve"> University, </w:t>
      </w:r>
      <w:proofErr w:type="spellStart"/>
      <w:r w:rsidRPr="000567F1">
        <w:rPr>
          <w:i/>
          <w:iCs/>
          <w:sz w:val="22"/>
          <w:szCs w:val="22"/>
          <w:lang w:val="en-GB"/>
        </w:rPr>
        <w:t>Samarinda</w:t>
      </w:r>
      <w:proofErr w:type="spellEnd"/>
      <w:r w:rsidRPr="000567F1">
        <w:rPr>
          <w:i/>
          <w:iCs/>
          <w:sz w:val="22"/>
          <w:szCs w:val="22"/>
          <w:lang w:val="en-GB"/>
        </w:rPr>
        <w:t>, Indonesia.</w:t>
      </w:r>
    </w:p>
    <w:p w14:paraId="4B56CE38" w14:textId="77777777" w:rsidR="000567F1" w:rsidRPr="000567F1" w:rsidRDefault="000567F1" w:rsidP="000567F1">
      <w:pPr>
        <w:pStyle w:val="Affiliation"/>
        <w:spacing w:line="240" w:lineRule="auto"/>
        <w:ind w:left="426" w:hanging="284"/>
        <w:jc w:val="left"/>
        <w:rPr>
          <w:i/>
          <w:iCs/>
          <w:sz w:val="22"/>
          <w:szCs w:val="22"/>
          <w:vertAlign w:val="superscript"/>
          <w:lang w:val="en-GB"/>
        </w:rPr>
      </w:pPr>
      <w:r w:rsidRPr="000567F1">
        <w:rPr>
          <w:i/>
          <w:iCs/>
          <w:sz w:val="22"/>
          <w:szCs w:val="22"/>
          <w:vertAlign w:val="superscript"/>
          <w:lang w:val="en-GB"/>
        </w:rPr>
        <w:t xml:space="preserve">2 </w:t>
      </w:r>
      <w:r w:rsidRPr="000567F1">
        <w:rPr>
          <w:i/>
          <w:iCs/>
          <w:sz w:val="22"/>
          <w:szCs w:val="22"/>
          <w:vertAlign w:val="superscript"/>
          <w:lang w:val="en-GB"/>
        </w:rPr>
        <w:tab/>
      </w:r>
      <w:r w:rsidRPr="000567F1">
        <w:rPr>
          <w:i/>
          <w:iCs/>
          <w:sz w:val="22"/>
          <w:szCs w:val="22"/>
          <w:lang w:val="en-GB"/>
        </w:rPr>
        <w:t xml:space="preserve">Department of Biochemistry, Faculty of Medicine, </w:t>
      </w:r>
      <w:proofErr w:type="spellStart"/>
      <w:r w:rsidRPr="000567F1">
        <w:rPr>
          <w:i/>
          <w:iCs/>
          <w:sz w:val="22"/>
          <w:szCs w:val="22"/>
          <w:lang w:val="en-GB"/>
        </w:rPr>
        <w:t>Mulawarman</w:t>
      </w:r>
      <w:proofErr w:type="spellEnd"/>
      <w:r w:rsidRPr="000567F1">
        <w:rPr>
          <w:i/>
          <w:iCs/>
          <w:sz w:val="22"/>
          <w:szCs w:val="22"/>
          <w:lang w:val="en-GB"/>
        </w:rPr>
        <w:t xml:space="preserve"> University, </w:t>
      </w:r>
      <w:proofErr w:type="spellStart"/>
      <w:r w:rsidRPr="000567F1">
        <w:rPr>
          <w:i/>
          <w:iCs/>
          <w:sz w:val="22"/>
          <w:szCs w:val="22"/>
          <w:lang w:val="en-GB"/>
        </w:rPr>
        <w:t>Samarinda</w:t>
      </w:r>
      <w:proofErr w:type="spellEnd"/>
      <w:r w:rsidRPr="000567F1">
        <w:rPr>
          <w:i/>
          <w:iCs/>
          <w:sz w:val="22"/>
          <w:szCs w:val="22"/>
          <w:lang w:val="en-GB"/>
        </w:rPr>
        <w:t>, Indonesia.</w:t>
      </w:r>
    </w:p>
    <w:p w14:paraId="5C320EF0" w14:textId="77777777" w:rsidR="000567F1" w:rsidRDefault="000567F1" w:rsidP="000567F1">
      <w:pPr>
        <w:pStyle w:val="Affiliation"/>
        <w:spacing w:line="240" w:lineRule="auto"/>
        <w:ind w:left="426" w:hanging="284"/>
        <w:jc w:val="left"/>
        <w:rPr>
          <w:i/>
          <w:iCs/>
          <w:sz w:val="22"/>
          <w:szCs w:val="22"/>
          <w:lang w:val="en-GB"/>
        </w:rPr>
      </w:pPr>
      <w:r w:rsidRPr="000567F1">
        <w:rPr>
          <w:i/>
          <w:iCs/>
          <w:sz w:val="22"/>
          <w:szCs w:val="22"/>
          <w:vertAlign w:val="superscript"/>
          <w:lang w:val="en-GB"/>
        </w:rPr>
        <w:t xml:space="preserve">3 </w:t>
      </w:r>
      <w:r w:rsidRPr="000567F1">
        <w:rPr>
          <w:i/>
          <w:iCs/>
          <w:sz w:val="22"/>
          <w:szCs w:val="22"/>
          <w:vertAlign w:val="superscript"/>
          <w:lang w:val="en-GB"/>
        </w:rPr>
        <w:tab/>
      </w:r>
      <w:r w:rsidRPr="000567F1">
        <w:rPr>
          <w:i/>
          <w:iCs/>
          <w:sz w:val="22"/>
          <w:szCs w:val="22"/>
          <w:lang w:val="en-GB"/>
        </w:rPr>
        <w:t xml:space="preserve">Department of Pharmacology, Faculty of Medicine, </w:t>
      </w:r>
      <w:proofErr w:type="spellStart"/>
      <w:r w:rsidRPr="000567F1">
        <w:rPr>
          <w:i/>
          <w:iCs/>
          <w:sz w:val="22"/>
          <w:szCs w:val="22"/>
          <w:lang w:val="en-GB"/>
        </w:rPr>
        <w:t>Mulawarman</w:t>
      </w:r>
      <w:proofErr w:type="spellEnd"/>
      <w:r w:rsidRPr="000567F1">
        <w:rPr>
          <w:i/>
          <w:iCs/>
          <w:sz w:val="22"/>
          <w:szCs w:val="22"/>
          <w:lang w:val="en-GB"/>
        </w:rPr>
        <w:t xml:space="preserve"> University, </w:t>
      </w:r>
      <w:proofErr w:type="spellStart"/>
      <w:r w:rsidRPr="000567F1">
        <w:rPr>
          <w:i/>
          <w:iCs/>
          <w:sz w:val="22"/>
          <w:szCs w:val="22"/>
          <w:lang w:val="en-GB"/>
        </w:rPr>
        <w:t>Samarinda</w:t>
      </w:r>
      <w:proofErr w:type="spellEnd"/>
      <w:r w:rsidRPr="000567F1">
        <w:rPr>
          <w:i/>
          <w:iCs/>
          <w:sz w:val="22"/>
          <w:szCs w:val="22"/>
          <w:lang w:val="en-GB"/>
        </w:rPr>
        <w:t>, Indonesia.</w:t>
      </w:r>
    </w:p>
    <w:p w14:paraId="66899A87" w14:textId="77777777" w:rsidR="000567F1" w:rsidRPr="000567F1" w:rsidRDefault="000567F1" w:rsidP="000567F1">
      <w:pPr>
        <w:pStyle w:val="Affiliation"/>
        <w:spacing w:line="240" w:lineRule="auto"/>
        <w:ind w:left="426" w:hanging="284"/>
        <w:jc w:val="left"/>
        <w:rPr>
          <w:i/>
          <w:iCs/>
          <w:sz w:val="22"/>
          <w:szCs w:val="22"/>
          <w:lang w:val="en-GB"/>
        </w:rPr>
      </w:pPr>
    </w:p>
    <w:p w14:paraId="30D28DA0" w14:textId="77777777" w:rsidR="000567F1" w:rsidRPr="000567F1" w:rsidRDefault="000567F1" w:rsidP="000567F1">
      <w:pPr>
        <w:spacing w:before="120" w:line="228" w:lineRule="auto"/>
        <w:jc w:val="both"/>
        <w:rPr>
          <w:rFonts w:ascii="Arial" w:hAnsi="Arial" w:cs="Arial"/>
        </w:rPr>
      </w:pPr>
      <w:r w:rsidRPr="000567F1">
        <w:rPr>
          <w:rFonts w:ascii="Arial" w:hAnsi="Arial" w:cs="Arial"/>
          <w:b/>
        </w:rPr>
        <w:t>ABSTRACT</w:t>
      </w:r>
      <w:r w:rsidRPr="000567F1">
        <w:rPr>
          <w:rFonts w:ascii="Arial" w:hAnsi="Arial" w:cs="Arial"/>
        </w:rPr>
        <w:t xml:space="preserve">: Nutritional deficits, particularly in proteins, significantly contribute to stunting. Proteins are required for growth, tissue repair, and the synthesis of vital biochemical compounds. This study was to investigate the </w:t>
      </w:r>
      <w:proofErr w:type="spellStart"/>
      <w:r w:rsidRPr="000567F1">
        <w:rPr>
          <w:rFonts w:ascii="Arial" w:hAnsi="Arial" w:cs="Arial"/>
        </w:rPr>
        <w:t>therapeutice</w:t>
      </w:r>
      <w:proofErr w:type="spellEnd"/>
      <w:r w:rsidRPr="000567F1">
        <w:rPr>
          <w:rFonts w:ascii="Arial" w:hAnsi="Arial" w:cs="Arial"/>
        </w:rPr>
        <w:t xml:space="preserve"> potential of fish protein hydrolysate (FPH) derived from </w:t>
      </w:r>
      <w:proofErr w:type="spellStart"/>
      <w:r w:rsidRPr="000567F1">
        <w:rPr>
          <w:rFonts w:ascii="Arial" w:hAnsi="Arial" w:cs="Arial"/>
          <w:i/>
          <w:iCs/>
        </w:rPr>
        <w:t>Krytopterus</w:t>
      </w:r>
      <w:proofErr w:type="spellEnd"/>
      <w:r w:rsidRPr="000567F1">
        <w:rPr>
          <w:rFonts w:ascii="Arial" w:hAnsi="Arial" w:cs="Arial"/>
          <w:i/>
          <w:iCs/>
        </w:rPr>
        <w:t xml:space="preserve"> spp</w:t>
      </w:r>
      <w:r w:rsidRPr="000567F1">
        <w:rPr>
          <w:rFonts w:ascii="Arial" w:hAnsi="Arial" w:cs="Arial"/>
        </w:rPr>
        <w:t xml:space="preserve">. in improving body weight, total protein, and albumin levels in a </w:t>
      </w:r>
      <w:r w:rsidRPr="000567F1">
        <w:rPr>
          <w:rFonts w:ascii="Arial" w:hAnsi="Arial" w:cs="Arial"/>
          <w:i/>
          <w:iCs/>
        </w:rPr>
        <w:t xml:space="preserve">Rattus </w:t>
      </w:r>
      <w:proofErr w:type="spellStart"/>
      <w:r w:rsidRPr="000567F1">
        <w:rPr>
          <w:rFonts w:ascii="Arial" w:hAnsi="Arial" w:cs="Arial"/>
          <w:i/>
          <w:iCs/>
        </w:rPr>
        <w:t>novergicus</w:t>
      </w:r>
      <w:proofErr w:type="spellEnd"/>
      <w:r w:rsidRPr="000567F1">
        <w:rPr>
          <w:rFonts w:ascii="Arial" w:hAnsi="Arial" w:cs="Arial"/>
        </w:rPr>
        <w:t xml:space="preserve"> stunting model. A true experimental design with a post-test control-group approach was used. Thirty stunted Rattus </w:t>
      </w:r>
      <w:proofErr w:type="spellStart"/>
      <w:r w:rsidRPr="000567F1">
        <w:rPr>
          <w:rFonts w:ascii="Arial" w:hAnsi="Arial" w:cs="Arial"/>
        </w:rPr>
        <w:t>novergicus</w:t>
      </w:r>
      <w:proofErr w:type="spellEnd"/>
      <w:r w:rsidRPr="000567F1">
        <w:rPr>
          <w:rFonts w:ascii="Arial" w:hAnsi="Arial" w:cs="Arial"/>
        </w:rPr>
        <w:t xml:space="preserve"> models were developed through dietary restriction and divided into five groups: a negative control group, a stunting control group, and three stunting groups supplemented with FPH at doses 18 mg/</w:t>
      </w:r>
      <w:proofErr w:type="spellStart"/>
      <w:r w:rsidRPr="000567F1">
        <w:rPr>
          <w:rFonts w:ascii="Arial" w:hAnsi="Arial" w:cs="Arial"/>
        </w:rPr>
        <w:t>bw</w:t>
      </w:r>
      <w:proofErr w:type="spellEnd"/>
      <w:r w:rsidRPr="000567F1">
        <w:rPr>
          <w:rFonts w:ascii="Arial" w:hAnsi="Arial" w:cs="Arial"/>
        </w:rPr>
        <w:t xml:space="preserve"> (Dose 1)</w:t>
      </w:r>
      <w:r w:rsidRPr="000567F1">
        <w:rPr>
          <w:rFonts w:ascii="Arial" w:hAnsi="Arial" w:cs="Arial"/>
          <w:i/>
          <w:iCs/>
        </w:rPr>
        <w:t xml:space="preserve">, </w:t>
      </w:r>
      <w:r w:rsidRPr="000567F1">
        <w:rPr>
          <w:rFonts w:ascii="Arial" w:hAnsi="Arial" w:cs="Arial"/>
        </w:rPr>
        <w:t>36 mg/</w:t>
      </w:r>
      <w:proofErr w:type="spellStart"/>
      <w:r w:rsidRPr="000567F1">
        <w:rPr>
          <w:rFonts w:ascii="Arial" w:hAnsi="Arial" w:cs="Arial"/>
        </w:rPr>
        <w:t>bw</w:t>
      </w:r>
      <w:proofErr w:type="spellEnd"/>
      <w:r w:rsidRPr="000567F1">
        <w:rPr>
          <w:rFonts w:ascii="Arial" w:hAnsi="Arial" w:cs="Arial"/>
        </w:rPr>
        <w:t xml:space="preserve"> (Dose 2)</w:t>
      </w:r>
      <w:r w:rsidRPr="000567F1">
        <w:rPr>
          <w:rFonts w:ascii="Arial" w:hAnsi="Arial" w:cs="Arial"/>
          <w:i/>
          <w:iCs/>
        </w:rPr>
        <w:t xml:space="preserve">, </w:t>
      </w:r>
      <w:r w:rsidRPr="000567F1">
        <w:rPr>
          <w:rFonts w:ascii="Arial" w:hAnsi="Arial" w:cs="Arial"/>
        </w:rPr>
        <w:t>and 72 mg/</w:t>
      </w:r>
      <w:proofErr w:type="spellStart"/>
      <w:r w:rsidRPr="000567F1">
        <w:rPr>
          <w:rFonts w:ascii="Arial" w:hAnsi="Arial" w:cs="Arial"/>
        </w:rPr>
        <w:t>bw</w:t>
      </w:r>
      <w:proofErr w:type="spellEnd"/>
      <w:r w:rsidRPr="000567F1">
        <w:rPr>
          <w:rFonts w:ascii="Arial" w:hAnsi="Arial" w:cs="Arial"/>
        </w:rPr>
        <w:t xml:space="preserve"> (Dose 3). </w:t>
      </w:r>
    </w:p>
    <w:p w14:paraId="188FF477" w14:textId="77777777" w:rsidR="000567F1" w:rsidRPr="000567F1" w:rsidRDefault="000567F1" w:rsidP="000567F1">
      <w:pPr>
        <w:spacing w:before="120" w:after="120" w:line="228" w:lineRule="auto"/>
        <w:jc w:val="both"/>
        <w:rPr>
          <w:rFonts w:ascii="Arial" w:hAnsi="Arial" w:cs="Arial"/>
        </w:rPr>
      </w:pPr>
      <w:r w:rsidRPr="000567F1">
        <w:rPr>
          <w:rFonts w:ascii="Arial" w:hAnsi="Arial" w:cs="Arial"/>
        </w:rPr>
        <w:t xml:space="preserve">This research found that group with FPH </w:t>
      </w:r>
      <w:proofErr w:type="spellStart"/>
      <w:r w:rsidRPr="000567F1">
        <w:rPr>
          <w:rFonts w:ascii="Arial" w:hAnsi="Arial" w:cs="Arial"/>
          <w:i/>
          <w:iCs/>
        </w:rPr>
        <w:t>Krytopterus</w:t>
      </w:r>
      <w:proofErr w:type="spellEnd"/>
      <w:r w:rsidRPr="000567F1">
        <w:rPr>
          <w:rFonts w:ascii="Arial" w:hAnsi="Arial" w:cs="Arial"/>
          <w:i/>
          <w:iCs/>
        </w:rPr>
        <w:t xml:space="preserve"> </w:t>
      </w:r>
      <w:proofErr w:type="spellStart"/>
      <w:r w:rsidRPr="000567F1">
        <w:rPr>
          <w:rFonts w:ascii="Arial" w:hAnsi="Arial" w:cs="Arial"/>
          <w:i/>
          <w:iCs/>
        </w:rPr>
        <w:t>Spp</w:t>
      </w:r>
      <w:proofErr w:type="spellEnd"/>
      <w:r w:rsidRPr="000567F1">
        <w:rPr>
          <w:rFonts w:ascii="Arial" w:hAnsi="Arial" w:cs="Arial"/>
          <w:i/>
          <w:iCs/>
        </w:rPr>
        <w:t xml:space="preserve"> </w:t>
      </w:r>
      <w:r w:rsidRPr="000567F1">
        <w:rPr>
          <w:rFonts w:ascii="Arial" w:hAnsi="Arial" w:cs="Arial"/>
        </w:rPr>
        <w:t xml:space="preserve">after 4 weeks of treatment animal models could restore their body weight, the best improvement was group with dose treatment of 18 mg and 72 mg. The highest albumin levels were observed significant in treatment Dose 2 with p value &lt;0.001. The highest total protein was observed significant in treatment dose 3 with p value &lt; 0.05. These findings indicate that supplementation with fish hydrolysate protein </w:t>
      </w:r>
      <w:proofErr w:type="spellStart"/>
      <w:r w:rsidRPr="000567F1">
        <w:rPr>
          <w:rFonts w:ascii="Arial" w:hAnsi="Arial" w:cs="Arial"/>
          <w:i/>
          <w:iCs/>
        </w:rPr>
        <w:t>Krytopterus</w:t>
      </w:r>
      <w:proofErr w:type="spellEnd"/>
      <w:r w:rsidRPr="000567F1">
        <w:rPr>
          <w:rFonts w:ascii="Arial" w:hAnsi="Arial" w:cs="Arial"/>
          <w:i/>
          <w:iCs/>
        </w:rPr>
        <w:t xml:space="preserve"> </w:t>
      </w:r>
      <w:proofErr w:type="spellStart"/>
      <w:r w:rsidRPr="000567F1">
        <w:rPr>
          <w:rFonts w:ascii="Arial" w:hAnsi="Arial" w:cs="Arial"/>
          <w:i/>
          <w:iCs/>
        </w:rPr>
        <w:t>Spp</w:t>
      </w:r>
      <w:proofErr w:type="spellEnd"/>
      <w:r w:rsidRPr="000567F1">
        <w:rPr>
          <w:rFonts w:ascii="Arial" w:hAnsi="Arial" w:cs="Arial"/>
        </w:rPr>
        <w:t xml:space="preserve"> successfully repaired the body weight, protein and albumin levels in the stunting model.</w:t>
      </w:r>
    </w:p>
    <w:p w14:paraId="3A1B796B" w14:textId="65A23BB1" w:rsidR="00507584" w:rsidRDefault="000567F1" w:rsidP="000567F1">
      <w:pPr>
        <w:rPr>
          <w:rFonts w:ascii="Arial" w:hAnsi="Arial" w:cs="Arial"/>
        </w:rPr>
      </w:pPr>
      <w:r w:rsidRPr="000567F1">
        <w:rPr>
          <w:rFonts w:ascii="Arial" w:hAnsi="Arial" w:cs="Arial"/>
          <w:b/>
        </w:rPr>
        <w:t>KEYWORD:</w:t>
      </w:r>
      <w:r w:rsidRPr="000567F1">
        <w:rPr>
          <w:rFonts w:ascii="Arial" w:hAnsi="Arial" w:cs="Arial"/>
        </w:rPr>
        <w:t xml:space="preserve">  albumin; fish protein hydrolysate; stunting </w:t>
      </w:r>
      <w:proofErr w:type="spellStart"/>
      <w:r w:rsidRPr="000567F1">
        <w:rPr>
          <w:rFonts w:ascii="Arial" w:hAnsi="Arial" w:cs="Arial"/>
        </w:rPr>
        <w:t>theraphy</w:t>
      </w:r>
      <w:proofErr w:type="spellEnd"/>
      <w:r w:rsidRPr="000567F1">
        <w:rPr>
          <w:rFonts w:ascii="Arial" w:hAnsi="Arial" w:cs="Arial"/>
        </w:rPr>
        <w:t>; total protein; functional food</w:t>
      </w:r>
    </w:p>
    <w:p w14:paraId="57F48145" w14:textId="77777777" w:rsidR="000567F1" w:rsidRDefault="000567F1" w:rsidP="000567F1">
      <w:pPr>
        <w:rPr>
          <w:rFonts w:ascii="Arial" w:hAnsi="Arial" w:cs="Arial"/>
        </w:rPr>
      </w:pPr>
    </w:p>
    <w:p w14:paraId="34AA7230" w14:textId="1E14AFEC" w:rsidR="000567F1" w:rsidRPr="000567F1" w:rsidRDefault="000567F1" w:rsidP="000567F1">
      <w:pPr>
        <w:rPr>
          <w:rFonts w:ascii="Arial" w:hAnsi="Arial" w:cs="Arial"/>
          <w:b/>
          <w:bCs/>
          <w:sz w:val="20"/>
          <w:szCs w:val="20"/>
        </w:rPr>
      </w:pPr>
      <w:r w:rsidRPr="000567F1">
        <w:rPr>
          <w:rFonts w:ascii="Arial" w:hAnsi="Arial" w:cs="Arial"/>
          <w:b/>
          <w:bCs/>
          <w:sz w:val="20"/>
          <w:szCs w:val="20"/>
        </w:rPr>
        <w:t xml:space="preserve">References </w:t>
      </w:r>
    </w:p>
    <w:sdt>
      <w:sdtPr>
        <w:rPr>
          <w:rFonts w:ascii="Arial" w:eastAsia="Times New Roman" w:hAnsi="Arial" w:cs="Arial"/>
          <w:sz w:val="20"/>
          <w:szCs w:val="20"/>
          <w:lang w:val="id" w:eastAsia="id"/>
        </w:rPr>
        <w:tag w:val="MENDELEY_BIBLIOGRAPHY"/>
        <w:id w:val="-839769712"/>
        <w:placeholder>
          <w:docPart w:val="D2550A9B4B784D6CAFFFD41513482DBA"/>
        </w:placeholder>
      </w:sdtPr>
      <w:sdtEndPr>
        <w:rPr>
          <w:rFonts w:eastAsiaTheme="minorHAnsi"/>
          <w:lang w:val="en-GB" w:eastAsia="en-US"/>
        </w:rPr>
      </w:sdtEndPr>
      <w:sdtContent>
        <w:p w14:paraId="47B0E4E6" w14:textId="77777777" w:rsidR="000567F1" w:rsidRPr="000567F1" w:rsidRDefault="000567F1" w:rsidP="000567F1">
          <w:pPr>
            <w:jc w:val="both"/>
            <w:rPr>
              <w:rFonts w:ascii="Arial" w:eastAsia="Times New Roman" w:hAnsi="Arial" w:cs="Arial"/>
              <w:sz w:val="20"/>
              <w:szCs w:val="20"/>
            </w:rPr>
          </w:pPr>
          <w:r w:rsidRPr="000567F1">
            <w:rPr>
              <w:rFonts w:ascii="Arial" w:eastAsia="Times New Roman" w:hAnsi="Arial" w:cs="Arial"/>
              <w:sz w:val="20"/>
              <w:szCs w:val="20"/>
            </w:rPr>
            <w:t xml:space="preserve">Annisa, S., </w:t>
          </w:r>
          <w:proofErr w:type="spellStart"/>
          <w:r w:rsidRPr="000567F1">
            <w:rPr>
              <w:rFonts w:ascii="Arial" w:eastAsia="Times New Roman" w:hAnsi="Arial" w:cs="Arial"/>
              <w:sz w:val="20"/>
              <w:szCs w:val="20"/>
            </w:rPr>
            <w:t>Darmanto</w:t>
          </w:r>
          <w:proofErr w:type="spellEnd"/>
          <w:r w:rsidRPr="000567F1">
            <w:rPr>
              <w:rFonts w:ascii="Arial" w:eastAsia="Times New Roman" w:hAnsi="Arial" w:cs="Arial"/>
              <w:sz w:val="20"/>
              <w:szCs w:val="20"/>
            </w:rPr>
            <w:t xml:space="preserve">, Y.S. and Amalia, U. (2017) ‘PENGARUH PERBEDAAN SPESIES IKAN TERHADAP HIDROLISAT PROTEIN IKAN DENGAN PENAMBAHAN ENZIM PAPAIN (The Effect of Various Fish Species On Fish Protein Hydrolysate With The Addition of Papain Enzyme)’, </w:t>
          </w:r>
          <w:r w:rsidRPr="000567F1">
            <w:rPr>
              <w:rFonts w:ascii="Arial" w:eastAsia="Times New Roman" w:hAnsi="Arial" w:cs="Arial"/>
              <w:i/>
              <w:iCs/>
              <w:sz w:val="20"/>
              <w:szCs w:val="20"/>
            </w:rPr>
            <w:t xml:space="preserve">SAINTEK </w:t>
          </w:r>
          <w:proofErr w:type="gramStart"/>
          <w:r w:rsidRPr="000567F1">
            <w:rPr>
              <w:rFonts w:ascii="Arial" w:eastAsia="Times New Roman" w:hAnsi="Arial" w:cs="Arial"/>
              <w:i/>
              <w:iCs/>
              <w:sz w:val="20"/>
              <w:szCs w:val="20"/>
            </w:rPr>
            <w:t>PERIKANAN :</w:t>
          </w:r>
          <w:proofErr w:type="gramEnd"/>
          <w:r w:rsidRPr="000567F1">
            <w:rPr>
              <w:rFonts w:ascii="Arial" w:eastAsia="Times New Roman" w:hAnsi="Arial" w:cs="Arial"/>
              <w:i/>
              <w:iCs/>
              <w:sz w:val="20"/>
              <w:szCs w:val="20"/>
            </w:rPr>
            <w:t xml:space="preserve"> Indonesian Journal of Fisheries Science and Technology</w:t>
          </w:r>
          <w:r w:rsidRPr="000567F1">
            <w:rPr>
              <w:rFonts w:ascii="Arial" w:eastAsia="Times New Roman" w:hAnsi="Arial" w:cs="Arial"/>
              <w:sz w:val="20"/>
              <w:szCs w:val="20"/>
            </w:rPr>
            <w:t xml:space="preserve">, 13(1), p. 24. Available at: </w:t>
          </w:r>
          <w:hyperlink r:id="rId9" w:history="1">
            <w:r w:rsidRPr="000567F1">
              <w:rPr>
                <w:rStyle w:val="Hyperlink"/>
                <w:rFonts w:ascii="Arial" w:eastAsia="Times New Roman" w:hAnsi="Arial" w:cs="Arial"/>
                <w:sz w:val="20"/>
                <w:szCs w:val="20"/>
              </w:rPr>
              <w:t>https://doi.org/10.14710/ijfst.13.1.24-30</w:t>
            </w:r>
          </w:hyperlink>
          <w:r w:rsidRPr="000567F1">
            <w:rPr>
              <w:rFonts w:ascii="Arial" w:eastAsia="Times New Roman" w:hAnsi="Arial" w:cs="Arial"/>
              <w:sz w:val="20"/>
              <w:szCs w:val="20"/>
            </w:rPr>
            <w:t>.</w:t>
          </w:r>
        </w:p>
        <w:p w14:paraId="000ABF8C" w14:textId="77777777" w:rsidR="000567F1" w:rsidRPr="000567F1" w:rsidRDefault="000567F1" w:rsidP="000567F1">
          <w:pPr>
            <w:jc w:val="both"/>
            <w:rPr>
              <w:rFonts w:ascii="Arial" w:eastAsia="Times New Roman" w:hAnsi="Arial" w:cs="Arial"/>
              <w:sz w:val="20"/>
              <w:szCs w:val="20"/>
            </w:rPr>
          </w:pPr>
          <w:proofErr w:type="spellStart"/>
          <w:r w:rsidRPr="000567F1">
            <w:rPr>
              <w:rFonts w:ascii="Arial" w:eastAsia="Times New Roman" w:hAnsi="Arial" w:cs="Arial"/>
              <w:sz w:val="20"/>
              <w:szCs w:val="20"/>
            </w:rPr>
            <w:t>Barouaca</w:t>
          </w:r>
          <w:proofErr w:type="spellEnd"/>
          <w:r w:rsidRPr="000567F1">
            <w:rPr>
              <w:rFonts w:ascii="Arial" w:eastAsia="Times New Roman" w:hAnsi="Arial" w:cs="Arial"/>
              <w:sz w:val="20"/>
              <w:szCs w:val="20"/>
            </w:rPr>
            <w:t xml:space="preserve">, H. (2023) ‘Study pattern of nutritional recovery in </w:t>
          </w:r>
          <w:proofErr w:type="spellStart"/>
          <w:r w:rsidRPr="000567F1">
            <w:rPr>
              <w:rFonts w:ascii="Arial" w:eastAsia="Times New Roman" w:hAnsi="Arial" w:cs="Arial"/>
              <w:sz w:val="20"/>
              <w:szCs w:val="20"/>
            </w:rPr>
            <w:t>edematous</w:t>
          </w:r>
          <w:proofErr w:type="spellEnd"/>
          <w:r w:rsidRPr="000567F1">
            <w:rPr>
              <w:rFonts w:ascii="Arial" w:eastAsia="Times New Roman" w:hAnsi="Arial" w:cs="Arial"/>
              <w:sz w:val="20"/>
              <w:szCs w:val="20"/>
            </w:rPr>
            <w:t xml:space="preserve"> and non-</w:t>
          </w:r>
          <w:proofErr w:type="spellStart"/>
          <w:r w:rsidRPr="000567F1">
            <w:rPr>
              <w:rFonts w:ascii="Arial" w:eastAsia="Times New Roman" w:hAnsi="Arial" w:cs="Arial"/>
              <w:sz w:val="20"/>
              <w:szCs w:val="20"/>
            </w:rPr>
            <w:t>edematous</w:t>
          </w:r>
          <w:proofErr w:type="spellEnd"/>
          <w:r w:rsidRPr="000567F1">
            <w:rPr>
              <w:rFonts w:ascii="Arial" w:eastAsia="Times New Roman" w:hAnsi="Arial" w:cs="Arial"/>
              <w:sz w:val="20"/>
              <w:szCs w:val="20"/>
            </w:rPr>
            <w:t xml:space="preserve"> malnourished children after a short hospital stay of nutrition rehabilitation’, </w:t>
          </w:r>
          <w:r w:rsidRPr="000567F1">
            <w:rPr>
              <w:rFonts w:ascii="Arial" w:eastAsia="Times New Roman" w:hAnsi="Arial" w:cs="Arial"/>
              <w:i/>
              <w:iCs/>
              <w:sz w:val="20"/>
              <w:szCs w:val="20"/>
            </w:rPr>
            <w:t>North African Journal of Food and Nutrition Research</w:t>
          </w:r>
          <w:r w:rsidRPr="000567F1">
            <w:rPr>
              <w:rFonts w:ascii="Arial" w:eastAsia="Times New Roman" w:hAnsi="Arial" w:cs="Arial"/>
              <w:sz w:val="20"/>
              <w:szCs w:val="20"/>
            </w:rPr>
            <w:t xml:space="preserve">, 7(15), pp. 126–135. Available at: </w:t>
          </w:r>
          <w:hyperlink r:id="rId10" w:history="1">
            <w:r w:rsidRPr="000567F1">
              <w:rPr>
                <w:rStyle w:val="Hyperlink"/>
                <w:rFonts w:ascii="Arial" w:eastAsia="Times New Roman" w:hAnsi="Arial" w:cs="Arial"/>
                <w:sz w:val="20"/>
                <w:szCs w:val="20"/>
              </w:rPr>
              <w:t>https://doi.org/10.51745/najfnr.7.15.126-135</w:t>
            </w:r>
          </w:hyperlink>
          <w:r w:rsidRPr="000567F1">
            <w:rPr>
              <w:rFonts w:ascii="Arial" w:eastAsia="Times New Roman" w:hAnsi="Arial" w:cs="Arial"/>
              <w:sz w:val="20"/>
              <w:szCs w:val="20"/>
            </w:rPr>
            <w:t>.</w:t>
          </w:r>
        </w:p>
        <w:p w14:paraId="6F7FF7B2" w14:textId="77777777" w:rsidR="000567F1" w:rsidRPr="000567F1" w:rsidRDefault="000567F1" w:rsidP="000567F1">
          <w:pPr>
            <w:jc w:val="both"/>
            <w:rPr>
              <w:rFonts w:ascii="Arial" w:eastAsia="Times New Roman" w:hAnsi="Arial" w:cs="Arial"/>
              <w:sz w:val="20"/>
              <w:szCs w:val="20"/>
              <w:lang w:val="da-DK"/>
            </w:rPr>
          </w:pPr>
          <w:r w:rsidRPr="000567F1">
            <w:rPr>
              <w:rFonts w:ascii="Arial" w:eastAsia="Times New Roman" w:hAnsi="Arial" w:cs="Arial"/>
              <w:sz w:val="20"/>
              <w:szCs w:val="20"/>
            </w:rPr>
            <w:t xml:space="preserve">Blencowe, H. (2019) ‘National, regional, and worldwide estimates of low birthweight in 2015, with trends from 2000: a systematic analysis’, </w:t>
          </w:r>
          <w:r w:rsidRPr="000567F1">
            <w:rPr>
              <w:rFonts w:ascii="Arial" w:eastAsia="Times New Roman" w:hAnsi="Arial" w:cs="Arial"/>
              <w:i/>
              <w:iCs/>
              <w:sz w:val="20"/>
              <w:szCs w:val="20"/>
            </w:rPr>
            <w:t>The Lancet Global Health</w:t>
          </w:r>
          <w:r w:rsidRPr="000567F1">
            <w:rPr>
              <w:rFonts w:ascii="Arial" w:eastAsia="Times New Roman" w:hAnsi="Arial" w:cs="Arial"/>
              <w:sz w:val="20"/>
              <w:szCs w:val="20"/>
            </w:rPr>
            <w:t xml:space="preserve">, 7(7). </w:t>
          </w:r>
          <w:r w:rsidRPr="000567F1">
            <w:rPr>
              <w:rFonts w:ascii="Arial" w:eastAsia="Times New Roman" w:hAnsi="Arial" w:cs="Arial"/>
              <w:sz w:val="20"/>
              <w:szCs w:val="20"/>
              <w:lang w:val="da-DK"/>
            </w:rPr>
            <w:t xml:space="preserve">Available at: </w:t>
          </w:r>
          <w:r w:rsidRPr="000567F1">
            <w:rPr>
              <w:rFonts w:ascii="Arial" w:hAnsi="Arial" w:cs="Arial"/>
              <w:sz w:val="20"/>
              <w:szCs w:val="20"/>
            </w:rPr>
            <w:fldChar w:fldCharType="begin"/>
          </w:r>
          <w:r w:rsidRPr="000567F1">
            <w:rPr>
              <w:rFonts w:ascii="Arial" w:hAnsi="Arial" w:cs="Arial"/>
              <w:sz w:val="20"/>
              <w:szCs w:val="20"/>
              <w:lang w:val="da-DK"/>
            </w:rPr>
            <w:instrText>HYPERLINK "https://doi.org/10.1016/S2214-109X(18)30565-5"</w:instrText>
          </w:r>
          <w:r w:rsidRPr="000567F1">
            <w:rPr>
              <w:rFonts w:ascii="Arial" w:hAnsi="Arial" w:cs="Arial"/>
              <w:sz w:val="20"/>
              <w:szCs w:val="20"/>
            </w:rPr>
          </w:r>
          <w:r w:rsidRPr="000567F1">
            <w:rPr>
              <w:rFonts w:ascii="Arial" w:hAnsi="Arial" w:cs="Arial"/>
              <w:sz w:val="20"/>
              <w:szCs w:val="20"/>
            </w:rPr>
            <w:fldChar w:fldCharType="separate"/>
          </w:r>
          <w:r w:rsidRPr="000567F1">
            <w:rPr>
              <w:rStyle w:val="Hyperlink"/>
              <w:rFonts w:ascii="Arial" w:eastAsia="Times New Roman" w:hAnsi="Arial" w:cs="Arial"/>
              <w:sz w:val="20"/>
              <w:szCs w:val="20"/>
              <w:lang w:val="da-DK"/>
            </w:rPr>
            <w:t>https://doi.org/10.1016/S2214-109X(18)30565-5</w:t>
          </w:r>
          <w:r w:rsidRPr="000567F1">
            <w:rPr>
              <w:rStyle w:val="Hyperlink"/>
              <w:rFonts w:ascii="Arial" w:eastAsia="Times New Roman" w:hAnsi="Arial" w:cs="Arial"/>
              <w:sz w:val="20"/>
              <w:szCs w:val="20"/>
            </w:rPr>
            <w:fldChar w:fldCharType="end"/>
          </w:r>
          <w:r w:rsidRPr="000567F1">
            <w:rPr>
              <w:rFonts w:ascii="Arial" w:eastAsia="Times New Roman" w:hAnsi="Arial" w:cs="Arial"/>
              <w:sz w:val="20"/>
              <w:szCs w:val="20"/>
              <w:lang w:val="da-DK"/>
            </w:rPr>
            <w:t>.</w:t>
          </w:r>
        </w:p>
        <w:p w14:paraId="2921AAEA" w14:textId="77777777" w:rsidR="000567F1" w:rsidRPr="000567F1" w:rsidRDefault="000567F1" w:rsidP="000567F1">
          <w:pPr>
            <w:jc w:val="both"/>
            <w:rPr>
              <w:rFonts w:ascii="Arial" w:eastAsia="Times New Roman" w:hAnsi="Arial" w:cs="Arial"/>
              <w:sz w:val="20"/>
              <w:szCs w:val="20"/>
            </w:rPr>
          </w:pPr>
          <w:r w:rsidRPr="000567F1">
            <w:rPr>
              <w:rFonts w:ascii="Arial" w:eastAsia="Times New Roman" w:hAnsi="Arial" w:cs="Arial"/>
              <w:sz w:val="20"/>
              <w:szCs w:val="20"/>
              <w:lang w:val="da-DK"/>
            </w:rPr>
            <w:t xml:space="preserve">García-Moreno, P.J. </w:t>
          </w:r>
          <w:r w:rsidRPr="000567F1">
            <w:rPr>
              <w:rFonts w:ascii="Arial" w:eastAsia="Times New Roman" w:hAnsi="Arial" w:cs="Arial"/>
              <w:i/>
              <w:iCs/>
              <w:sz w:val="20"/>
              <w:szCs w:val="20"/>
              <w:lang w:val="da-DK"/>
            </w:rPr>
            <w:t>et al.</w:t>
          </w:r>
          <w:r w:rsidRPr="000567F1">
            <w:rPr>
              <w:rFonts w:ascii="Arial" w:eastAsia="Times New Roman" w:hAnsi="Arial" w:cs="Arial"/>
              <w:sz w:val="20"/>
              <w:szCs w:val="20"/>
              <w:lang w:val="da-DK"/>
            </w:rPr>
            <w:t xml:space="preserve"> </w:t>
          </w:r>
          <w:r w:rsidRPr="000567F1">
            <w:rPr>
              <w:rFonts w:ascii="Arial" w:eastAsia="Times New Roman" w:hAnsi="Arial" w:cs="Arial"/>
              <w:sz w:val="20"/>
              <w:szCs w:val="20"/>
            </w:rPr>
            <w:t xml:space="preserve">(2014) ‘Antioxidant activity of protein hydrolysates obtained from discarded Mediterranean fish species’, </w:t>
          </w:r>
          <w:r w:rsidRPr="000567F1">
            <w:rPr>
              <w:rFonts w:ascii="Arial" w:eastAsia="Times New Roman" w:hAnsi="Arial" w:cs="Arial"/>
              <w:i/>
              <w:iCs/>
              <w:sz w:val="20"/>
              <w:szCs w:val="20"/>
            </w:rPr>
            <w:t>Food Research International</w:t>
          </w:r>
          <w:r w:rsidRPr="000567F1">
            <w:rPr>
              <w:rFonts w:ascii="Arial" w:eastAsia="Times New Roman" w:hAnsi="Arial" w:cs="Arial"/>
              <w:sz w:val="20"/>
              <w:szCs w:val="20"/>
            </w:rPr>
            <w:t xml:space="preserve">, 65(PC), pp. 469–476. Available at: </w:t>
          </w:r>
          <w:hyperlink r:id="rId11" w:history="1">
            <w:r w:rsidRPr="000567F1">
              <w:rPr>
                <w:rStyle w:val="Hyperlink"/>
                <w:rFonts w:ascii="Arial" w:eastAsia="Times New Roman" w:hAnsi="Arial" w:cs="Arial"/>
                <w:sz w:val="20"/>
                <w:szCs w:val="20"/>
              </w:rPr>
              <w:t>https://doi.org/10.1016/J.FOODRES.2014.03.061</w:t>
            </w:r>
          </w:hyperlink>
          <w:r w:rsidRPr="000567F1">
            <w:rPr>
              <w:rFonts w:ascii="Arial" w:eastAsia="Times New Roman" w:hAnsi="Arial" w:cs="Arial"/>
              <w:sz w:val="20"/>
              <w:szCs w:val="20"/>
            </w:rPr>
            <w:t>.</w:t>
          </w:r>
        </w:p>
        <w:p w14:paraId="0F9EA7EB" w14:textId="77777777" w:rsidR="000567F1" w:rsidRPr="000567F1" w:rsidRDefault="000567F1" w:rsidP="000567F1">
          <w:pPr>
            <w:jc w:val="both"/>
            <w:rPr>
              <w:rFonts w:ascii="Arial" w:eastAsia="Times New Roman" w:hAnsi="Arial" w:cs="Arial"/>
              <w:sz w:val="20"/>
              <w:szCs w:val="20"/>
            </w:rPr>
          </w:pPr>
          <w:proofErr w:type="spellStart"/>
          <w:r w:rsidRPr="000567F1">
            <w:rPr>
              <w:rFonts w:ascii="Arial" w:eastAsia="Times New Roman" w:hAnsi="Arial" w:cs="Arial"/>
              <w:sz w:val="20"/>
              <w:szCs w:val="20"/>
            </w:rPr>
            <w:lastRenderedPageBreak/>
            <w:t>Gustiya</w:t>
          </w:r>
          <w:proofErr w:type="spellEnd"/>
          <w:r w:rsidRPr="000567F1">
            <w:rPr>
              <w:rFonts w:ascii="Arial" w:eastAsia="Times New Roman" w:hAnsi="Arial" w:cs="Arial"/>
              <w:sz w:val="20"/>
              <w:szCs w:val="20"/>
            </w:rPr>
            <w:t xml:space="preserve">, S.D., </w:t>
          </w:r>
          <w:proofErr w:type="spellStart"/>
          <w:r w:rsidRPr="000567F1">
            <w:rPr>
              <w:rFonts w:ascii="Arial" w:eastAsia="Times New Roman" w:hAnsi="Arial" w:cs="Arial"/>
              <w:sz w:val="20"/>
              <w:szCs w:val="20"/>
            </w:rPr>
            <w:t>Hadisaputro</w:t>
          </w:r>
          <w:proofErr w:type="spellEnd"/>
          <w:r w:rsidRPr="000567F1">
            <w:rPr>
              <w:rFonts w:ascii="Arial" w:eastAsia="Times New Roman" w:hAnsi="Arial" w:cs="Arial"/>
              <w:sz w:val="20"/>
              <w:szCs w:val="20"/>
            </w:rPr>
            <w:t xml:space="preserve">, S. and Sumarni, S. (2021) ‘Does moringa oleifera leaf nanoparticles increase albumin levels in stunting toddlers?’, in </w:t>
          </w:r>
          <w:r w:rsidRPr="000567F1">
            <w:rPr>
              <w:rFonts w:ascii="Arial" w:eastAsia="Times New Roman" w:hAnsi="Arial" w:cs="Arial"/>
              <w:i/>
              <w:iCs/>
              <w:sz w:val="20"/>
              <w:szCs w:val="20"/>
            </w:rPr>
            <w:t>Journal of Physics: Conference Series</w:t>
          </w:r>
          <w:r w:rsidRPr="000567F1">
            <w:rPr>
              <w:rFonts w:ascii="Arial" w:eastAsia="Times New Roman" w:hAnsi="Arial" w:cs="Arial"/>
              <w:sz w:val="20"/>
              <w:szCs w:val="20"/>
            </w:rPr>
            <w:t xml:space="preserve">. IOP Publishing Ltd. Available at: </w:t>
          </w:r>
          <w:hyperlink r:id="rId12" w:history="1">
            <w:r w:rsidRPr="000567F1">
              <w:rPr>
                <w:rStyle w:val="Hyperlink"/>
                <w:rFonts w:ascii="Arial" w:eastAsia="Times New Roman" w:hAnsi="Arial" w:cs="Arial"/>
                <w:sz w:val="20"/>
                <w:szCs w:val="20"/>
              </w:rPr>
              <w:t>https://doi.org/10.1088/1742-6596/1943/1/012073</w:t>
            </w:r>
          </w:hyperlink>
          <w:r w:rsidRPr="000567F1">
            <w:rPr>
              <w:rFonts w:ascii="Arial" w:eastAsia="Times New Roman" w:hAnsi="Arial" w:cs="Arial"/>
              <w:sz w:val="20"/>
              <w:szCs w:val="20"/>
            </w:rPr>
            <w:t>.</w:t>
          </w:r>
        </w:p>
        <w:p w14:paraId="1835C019" w14:textId="77777777" w:rsidR="000567F1" w:rsidRPr="000567F1" w:rsidRDefault="000567F1" w:rsidP="000567F1">
          <w:pPr>
            <w:jc w:val="both"/>
            <w:rPr>
              <w:rFonts w:ascii="Arial" w:eastAsia="Times New Roman" w:hAnsi="Arial" w:cs="Arial"/>
              <w:sz w:val="20"/>
              <w:szCs w:val="20"/>
            </w:rPr>
          </w:pPr>
          <w:proofErr w:type="spellStart"/>
          <w:r w:rsidRPr="000567F1">
            <w:rPr>
              <w:rFonts w:ascii="Arial" w:eastAsia="Times New Roman" w:hAnsi="Arial" w:cs="Arial"/>
              <w:sz w:val="20"/>
              <w:szCs w:val="20"/>
            </w:rPr>
            <w:t>Kebijakan</w:t>
          </w:r>
          <w:proofErr w:type="spellEnd"/>
          <w:r w:rsidRPr="000567F1">
            <w:rPr>
              <w:rFonts w:ascii="Arial" w:eastAsia="Times New Roman" w:hAnsi="Arial" w:cs="Arial"/>
              <w:sz w:val="20"/>
              <w:szCs w:val="20"/>
            </w:rPr>
            <w:t xml:space="preserve"> Pembangunan, B. and Kementerian, K. (2023) </w:t>
          </w:r>
          <w:proofErr w:type="spellStart"/>
          <w:r w:rsidRPr="000567F1">
            <w:rPr>
              <w:rFonts w:ascii="Arial" w:eastAsia="Times New Roman" w:hAnsi="Arial" w:cs="Arial"/>
              <w:i/>
              <w:iCs/>
              <w:sz w:val="20"/>
              <w:szCs w:val="20"/>
            </w:rPr>
            <w:t>Survei</w:t>
          </w:r>
          <w:proofErr w:type="spellEnd"/>
          <w:r w:rsidRPr="000567F1">
            <w:rPr>
              <w:rFonts w:ascii="Arial" w:eastAsia="Times New Roman" w:hAnsi="Arial" w:cs="Arial"/>
              <w:i/>
              <w:iCs/>
              <w:sz w:val="20"/>
              <w:szCs w:val="20"/>
            </w:rPr>
            <w:t xml:space="preserve"> Kesehatan Indonesia 2023</w:t>
          </w:r>
          <w:r w:rsidRPr="000567F1">
            <w:rPr>
              <w:rFonts w:ascii="Arial" w:eastAsia="Times New Roman" w:hAnsi="Arial" w:cs="Arial"/>
              <w:sz w:val="20"/>
              <w:szCs w:val="20"/>
            </w:rPr>
            <w:t>. Jakarta.</w:t>
          </w:r>
        </w:p>
        <w:p w14:paraId="61174776" w14:textId="77777777" w:rsidR="000567F1" w:rsidRPr="000567F1" w:rsidRDefault="000567F1" w:rsidP="000567F1">
          <w:pPr>
            <w:jc w:val="both"/>
            <w:rPr>
              <w:rFonts w:ascii="Arial" w:eastAsia="Times New Roman" w:hAnsi="Arial" w:cs="Arial"/>
              <w:sz w:val="20"/>
              <w:szCs w:val="20"/>
            </w:rPr>
          </w:pPr>
          <w:r w:rsidRPr="000567F1">
            <w:rPr>
              <w:rFonts w:ascii="Arial" w:eastAsia="Times New Roman" w:hAnsi="Arial" w:cs="Arial"/>
              <w:sz w:val="20"/>
              <w:szCs w:val="20"/>
            </w:rPr>
            <w:t xml:space="preserve">Kementerian Kesehatan, B.P.P.N. (2013) </w:t>
          </w:r>
          <w:proofErr w:type="spellStart"/>
          <w:r w:rsidRPr="000567F1">
            <w:rPr>
              <w:rFonts w:ascii="Arial" w:eastAsia="Times New Roman" w:hAnsi="Arial" w:cs="Arial"/>
              <w:i/>
              <w:iCs/>
              <w:sz w:val="20"/>
              <w:szCs w:val="20"/>
            </w:rPr>
            <w:t>Kerangka</w:t>
          </w:r>
          <w:proofErr w:type="spellEnd"/>
          <w:r w:rsidRPr="000567F1">
            <w:rPr>
              <w:rFonts w:ascii="Arial" w:eastAsia="Times New Roman" w:hAnsi="Arial" w:cs="Arial"/>
              <w:i/>
              <w:iCs/>
              <w:sz w:val="20"/>
              <w:szCs w:val="20"/>
            </w:rPr>
            <w:t xml:space="preserve"> </w:t>
          </w:r>
          <w:proofErr w:type="spellStart"/>
          <w:r w:rsidRPr="000567F1">
            <w:rPr>
              <w:rFonts w:ascii="Arial" w:eastAsia="Times New Roman" w:hAnsi="Arial" w:cs="Arial"/>
              <w:i/>
              <w:iCs/>
              <w:sz w:val="20"/>
              <w:szCs w:val="20"/>
            </w:rPr>
            <w:t>Kebijakan</w:t>
          </w:r>
          <w:proofErr w:type="spellEnd"/>
          <w:r w:rsidRPr="000567F1">
            <w:rPr>
              <w:rFonts w:ascii="Arial" w:eastAsia="Times New Roman" w:hAnsi="Arial" w:cs="Arial"/>
              <w:i/>
              <w:iCs/>
              <w:sz w:val="20"/>
              <w:szCs w:val="20"/>
            </w:rPr>
            <w:t xml:space="preserve"> Gerakan Sadar Gizi Dalam Rangka </w:t>
          </w:r>
          <w:proofErr w:type="spellStart"/>
          <w:r w:rsidRPr="000567F1">
            <w:rPr>
              <w:rFonts w:ascii="Arial" w:eastAsia="Times New Roman" w:hAnsi="Arial" w:cs="Arial"/>
              <w:i/>
              <w:iCs/>
              <w:sz w:val="20"/>
              <w:szCs w:val="20"/>
            </w:rPr>
            <w:t>Seribu</w:t>
          </w:r>
          <w:proofErr w:type="spellEnd"/>
          <w:r w:rsidRPr="000567F1">
            <w:rPr>
              <w:rFonts w:ascii="Arial" w:eastAsia="Times New Roman" w:hAnsi="Arial" w:cs="Arial"/>
              <w:i/>
              <w:iCs/>
              <w:sz w:val="20"/>
              <w:szCs w:val="20"/>
            </w:rPr>
            <w:t xml:space="preserve"> Hari </w:t>
          </w:r>
          <w:proofErr w:type="spellStart"/>
          <w:r w:rsidRPr="000567F1">
            <w:rPr>
              <w:rFonts w:ascii="Arial" w:eastAsia="Times New Roman" w:hAnsi="Arial" w:cs="Arial"/>
              <w:i/>
              <w:iCs/>
              <w:sz w:val="20"/>
              <w:szCs w:val="20"/>
            </w:rPr>
            <w:t>Pertama</w:t>
          </w:r>
          <w:proofErr w:type="spellEnd"/>
          <w:r w:rsidRPr="000567F1">
            <w:rPr>
              <w:rFonts w:ascii="Arial" w:eastAsia="Times New Roman" w:hAnsi="Arial" w:cs="Arial"/>
              <w:i/>
              <w:iCs/>
              <w:sz w:val="20"/>
              <w:szCs w:val="20"/>
            </w:rPr>
            <w:t xml:space="preserve"> </w:t>
          </w:r>
          <w:proofErr w:type="spellStart"/>
          <w:r w:rsidRPr="000567F1">
            <w:rPr>
              <w:rFonts w:ascii="Arial" w:eastAsia="Times New Roman" w:hAnsi="Arial" w:cs="Arial"/>
              <w:i/>
              <w:iCs/>
              <w:sz w:val="20"/>
              <w:szCs w:val="20"/>
            </w:rPr>
            <w:t>Kehidupan</w:t>
          </w:r>
          <w:proofErr w:type="spellEnd"/>
          <w:r w:rsidRPr="000567F1">
            <w:rPr>
              <w:rFonts w:ascii="Arial" w:eastAsia="Times New Roman" w:hAnsi="Arial" w:cs="Arial"/>
              <w:i/>
              <w:iCs/>
              <w:sz w:val="20"/>
              <w:szCs w:val="20"/>
            </w:rPr>
            <w:t xml:space="preserve"> (1000 HPK)</w:t>
          </w:r>
          <w:r w:rsidRPr="000567F1">
            <w:rPr>
              <w:rFonts w:ascii="Arial" w:eastAsia="Times New Roman" w:hAnsi="Arial" w:cs="Arial"/>
              <w:sz w:val="20"/>
              <w:szCs w:val="20"/>
            </w:rPr>
            <w:t>. Jakarta.</w:t>
          </w:r>
        </w:p>
        <w:p w14:paraId="63CD39A5" w14:textId="77777777" w:rsidR="000567F1" w:rsidRPr="000567F1" w:rsidRDefault="000567F1" w:rsidP="000567F1">
          <w:pPr>
            <w:jc w:val="both"/>
            <w:rPr>
              <w:rFonts w:ascii="Arial" w:eastAsia="Times New Roman" w:hAnsi="Arial" w:cs="Arial"/>
              <w:sz w:val="20"/>
              <w:szCs w:val="20"/>
              <w:lang w:val="da-DK"/>
            </w:rPr>
          </w:pPr>
          <w:r w:rsidRPr="000567F1">
            <w:rPr>
              <w:rFonts w:ascii="Arial" w:eastAsia="Times New Roman" w:hAnsi="Arial" w:cs="Arial"/>
              <w:i/>
              <w:iCs/>
              <w:sz w:val="20"/>
              <w:szCs w:val="20"/>
              <w:lang w:val="da-DK"/>
            </w:rPr>
            <w:t xml:space="preserve">KERANGKA KEBIJAKAN GERAKAN NASIONAL PERCEPATAN PERBAIKAN GIZI </w:t>
          </w:r>
          <w:r w:rsidRPr="000567F1">
            <w:rPr>
              <w:rFonts w:ascii="Arial" w:eastAsia="Times New Roman" w:hAnsi="Arial" w:cs="Arial"/>
              <w:sz w:val="20"/>
              <w:szCs w:val="20"/>
              <w:lang w:val="da-DK"/>
            </w:rPr>
            <w:t>(2013).</w:t>
          </w:r>
        </w:p>
        <w:p w14:paraId="532958F7" w14:textId="77777777" w:rsidR="000567F1" w:rsidRPr="000567F1" w:rsidRDefault="000567F1" w:rsidP="000567F1">
          <w:pPr>
            <w:jc w:val="both"/>
            <w:rPr>
              <w:rFonts w:ascii="Arial" w:eastAsia="Times New Roman" w:hAnsi="Arial" w:cs="Arial"/>
              <w:sz w:val="20"/>
              <w:szCs w:val="20"/>
            </w:rPr>
          </w:pPr>
          <w:r w:rsidRPr="000567F1">
            <w:rPr>
              <w:rFonts w:ascii="Arial" w:eastAsia="Times New Roman" w:hAnsi="Arial" w:cs="Arial"/>
              <w:sz w:val="20"/>
              <w:szCs w:val="20"/>
            </w:rPr>
            <w:t xml:space="preserve">Kesehatan, K. (2023) </w:t>
          </w:r>
          <w:r w:rsidRPr="000567F1">
            <w:rPr>
              <w:rFonts w:ascii="Arial" w:eastAsia="Times New Roman" w:hAnsi="Arial" w:cs="Arial"/>
              <w:i/>
              <w:iCs/>
              <w:sz w:val="20"/>
              <w:szCs w:val="20"/>
            </w:rPr>
            <w:t xml:space="preserve">Hasil </w:t>
          </w:r>
          <w:proofErr w:type="spellStart"/>
          <w:r w:rsidRPr="000567F1">
            <w:rPr>
              <w:rFonts w:ascii="Arial" w:eastAsia="Times New Roman" w:hAnsi="Arial" w:cs="Arial"/>
              <w:i/>
              <w:iCs/>
              <w:sz w:val="20"/>
              <w:szCs w:val="20"/>
            </w:rPr>
            <w:t>Survei</w:t>
          </w:r>
          <w:proofErr w:type="spellEnd"/>
          <w:r w:rsidRPr="000567F1">
            <w:rPr>
              <w:rFonts w:ascii="Arial" w:eastAsia="Times New Roman" w:hAnsi="Arial" w:cs="Arial"/>
              <w:i/>
              <w:iCs/>
              <w:sz w:val="20"/>
              <w:szCs w:val="20"/>
            </w:rPr>
            <w:t xml:space="preserve"> Status Gizi Indonesia 2022</w:t>
          </w:r>
          <w:r w:rsidRPr="000567F1">
            <w:rPr>
              <w:rFonts w:ascii="Arial" w:eastAsia="Times New Roman" w:hAnsi="Arial" w:cs="Arial"/>
              <w:sz w:val="20"/>
              <w:szCs w:val="20"/>
            </w:rPr>
            <w:t>. Jakarta.</w:t>
          </w:r>
        </w:p>
        <w:p w14:paraId="5C9BB249" w14:textId="77777777" w:rsidR="000567F1" w:rsidRPr="000567F1" w:rsidRDefault="000567F1" w:rsidP="000567F1">
          <w:pPr>
            <w:jc w:val="both"/>
            <w:rPr>
              <w:rFonts w:ascii="Arial" w:eastAsia="Times New Roman" w:hAnsi="Arial" w:cs="Arial"/>
              <w:sz w:val="20"/>
              <w:szCs w:val="20"/>
            </w:rPr>
          </w:pPr>
          <w:r w:rsidRPr="000567F1">
            <w:rPr>
              <w:rFonts w:ascii="Arial" w:eastAsia="Times New Roman" w:hAnsi="Arial" w:cs="Arial"/>
              <w:sz w:val="20"/>
              <w:szCs w:val="20"/>
            </w:rPr>
            <w:t xml:space="preserve">Khalili Tilami, S. and </w:t>
          </w:r>
          <w:proofErr w:type="spellStart"/>
          <w:r w:rsidRPr="000567F1">
            <w:rPr>
              <w:rFonts w:ascii="Arial" w:eastAsia="Times New Roman" w:hAnsi="Arial" w:cs="Arial"/>
              <w:sz w:val="20"/>
              <w:szCs w:val="20"/>
            </w:rPr>
            <w:t>Sampels</w:t>
          </w:r>
          <w:proofErr w:type="spellEnd"/>
          <w:r w:rsidRPr="000567F1">
            <w:rPr>
              <w:rFonts w:ascii="Arial" w:eastAsia="Times New Roman" w:hAnsi="Arial" w:cs="Arial"/>
              <w:sz w:val="20"/>
              <w:szCs w:val="20"/>
            </w:rPr>
            <w:t xml:space="preserve">, S. (2018) ‘Nutritional Value of Fish: Lipids, Proteins, Vitamins, and Minerals’, </w:t>
          </w:r>
          <w:r w:rsidRPr="000567F1">
            <w:rPr>
              <w:rFonts w:ascii="Arial" w:eastAsia="Times New Roman" w:hAnsi="Arial" w:cs="Arial"/>
              <w:i/>
              <w:iCs/>
              <w:sz w:val="20"/>
              <w:szCs w:val="20"/>
            </w:rPr>
            <w:t>Reviews in Fisheries Science &amp; Aquaculture</w:t>
          </w:r>
          <w:r w:rsidRPr="000567F1">
            <w:rPr>
              <w:rFonts w:ascii="Arial" w:eastAsia="Times New Roman" w:hAnsi="Arial" w:cs="Arial"/>
              <w:sz w:val="20"/>
              <w:szCs w:val="20"/>
            </w:rPr>
            <w:t xml:space="preserve">, 26(2), pp. 243–253. Available at: </w:t>
          </w:r>
          <w:hyperlink r:id="rId13" w:history="1">
            <w:r w:rsidRPr="000567F1">
              <w:rPr>
                <w:rStyle w:val="Hyperlink"/>
                <w:rFonts w:ascii="Arial" w:eastAsia="Times New Roman" w:hAnsi="Arial" w:cs="Arial"/>
                <w:sz w:val="20"/>
                <w:szCs w:val="20"/>
              </w:rPr>
              <w:t>https://doi.org/10.1080/23308249.2017.1399104</w:t>
            </w:r>
          </w:hyperlink>
          <w:r w:rsidRPr="000567F1">
            <w:rPr>
              <w:rFonts w:ascii="Arial" w:eastAsia="Times New Roman" w:hAnsi="Arial" w:cs="Arial"/>
              <w:sz w:val="20"/>
              <w:szCs w:val="20"/>
            </w:rPr>
            <w:t>.</w:t>
          </w:r>
        </w:p>
        <w:p w14:paraId="7609C98D" w14:textId="77777777" w:rsidR="000567F1" w:rsidRPr="000567F1" w:rsidRDefault="000567F1" w:rsidP="000567F1">
          <w:pPr>
            <w:jc w:val="both"/>
            <w:rPr>
              <w:rFonts w:ascii="Arial" w:eastAsia="Times New Roman" w:hAnsi="Arial" w:cs="Arial"/>
              <w:sz w:val="20"/>
              <w:szCs w:val="20"/>
            </w:rPr>
          </w:pPr>
          <w:proofErr w:type="spellStart"/>
          <w:r w:rsidRPr="000567F1">
            <w:rPr>
              <w:rFonts w:ascii="Arial" w:eastAsia="Times New Roman" w:hAnsi="Arial" w:cs="Arial"/>
              <w:sz w:val="20"/>
              <w:szCs w:val="20"/>
            </w:rPr>
            <w:t>Laboratorium</w:t>
          </w:r>
          <w:proofErr w:type="spellEnd"/>
          <w:r w:rsidRPr="000567F1">
            <w:rPr>
              <w:rFonts w:ascii="Arial" w:eastAsia="Times New Roman" w:hAnsi="Arial" w:cs="Arial"/>
              <w:sz w:val="20"/>
              <w:szCs w:val="20"/>
            </w:rPr>
            <w:t xml:space="preserve"> Studi </w:t>
          </w:r>
          <w:proofErr w:type="spellStart"/>
          <w:r w:rsidRPr="000567F1">
            <w:rPr>
              <w:rFonts w:ascii="Arial" w:eastAsia="Times New Roman" w:hAnsi="Arial" w:cs="Arial"/>
              <w:sz w:val="20"/>
              <w:szCs w:val="20"/>
            </w:rPr>
            <w:t>Ilmu</w:t>
          </w:r>
          <w:proofErr w:type="spellEnd"/>
          <w:r w:rsidRPr="000567F1">
            <w:rPr>
              <w:rFonts w:ascii="Arial" w:eastAsia="Times New Roman" w:hAnsi="Arial" w:cs="Arial"/>
              <w:sz w:val="20"/>
              <w:szCs w:val="20"/>
            </w:rPr>
            <w:t xml:space="preserve"> Hayati (2009) ‘Analisa </w:t>
          </w:r>
          <w:proofErr w:type="spellStart"/>
          <w:r w:rsidRPr="000567F1">
            <w:rPr>
              <w:rFonts w:ascii="Arial" w:eastAsia="Times New Roman" w:hAnsi="Arial" w:cs="Arial"/>
              <w:sz w:val="20"/>
              <w:szCs w:val="20"/>
            </w:rPr>
            <w:t>Serbuk</w:t>
          </w:r>
          <w:proofErr w:type="spellEnd"/>
          <w:r w:rsidRPr="000567F1">
            <w:rPr>
              <w:rFonts w:ascii="Arial" w:eastAsia="Times New Roman" w:hAnsi="Arial" w:cs="Arial"/>
              <w:sz w:val="20"/>
              <w:szCs w:val="20"/>
            </w:rPr>
            <w:t xml:space="preserve"> Karang Malang’, </w:t>
          </w:r>
          <w:r w:rsidRPr="000567F1">
            <w:rPr>
              <w:rFonts w:ascii="Arial" w:eastAsia="Times New Roman" w:hAnsi="Arial" w:cs="Arial"/>
              <w:i/>
              <w:iCs/>
              <w:sz w:val="20"/>
              <w:szCs w:val="20"/>
            </w:rPr>
            <w:t xml:space="preserve">Universitas </w:t>
          </w:r>
          <w:proofErr w:type="spellStart"/>
          <w:r w:rsidRPr="000567F1">
            <w:rPr>
              <w:rFonts w:ascii="Arial" w:eastAsia="Times New Roman" w:hAnsi="Arial" w:cs="Arial"/>
              <w:i/>
              <w:iCs/>
              <w:sz w:val="20"/>
              <w:szCs w:val="20"/>
            </w:rPr>
            <w:t>Brawijaya</w:t>
          </w:r>
          <w:proofErr w:type="spellEnd"/>
          <w:r w:rsidRPr="000567F1">
            <w:rPr>
              <w:rFonts w:ascii="Arial" w:eastAsia="Times New Roman" w:hAnsi="Arial" w:cs="Arial"/>
              <w:sz w:val="20"/>
              <w:szCs w:val="20"/>
            </w:rPr>
            <w:t xml:space="preserve"> [Preprint]. Malang.</w:t>
          </w:r>
        </w:p>
        <w:p w14:paraId="62B4156A" w14:textId="77777777" w:rsidR="000567F1" w:rsidRPr="000567F1" w:rsidRDefault="000567F1" w:rsidP="000567F1">
          <w:pPr>
            <w:jc w:val="both"/>
            <w:rPr>
              <w:rFonts w:ascii="Arial" w:eastAsia="Times New Roman" w:hAnsi="Arial" w:cs="Arial"/>
              <w:sz w:val="20"/>
              <w:szCs w:val="20"/>
            </w:rPr>
          </w:pPr>
          <w:proofErr w:type="spellStart"/>
          <w:r w:rsidRPr="000567F1">
            <w:rPr>
              <w:rFonts w:ascii="Arial" w:eastAsia="Times New Roman" w:hAnsi="Arial" w:cs="Arial"/>
              <w:sz w:val="20"/>
              <w:szCs w:val="20"/>
            </w:rPr>
            <w:t>Luthfiyah</w:t>
          </w:r>
          <w:proofErr w:type="spellEnd"/>
          <w:r w:rsidRPr="000567F1">
            <w:rPr>
              <w:rFonts w:ascii="Arial" w:eastAsia="Times New Roman" w:hAnsi="Arial" w:cs="Arial"/>
              <w:sz w:val="20"/>
              <w:szCs w:val="20"/>
            </w:rPr>
            <w:t xml:space="preserve">, F., </w:t>
          </w:r>
          <w:proofErr w:type="spellStart"/>
          <w:r w:rsidRPr="000567F1">
            <w:rPr>
              <w:rFonts w:ascii="Arial" w:eastAsia="Times New Roman" w:hAnsi="Arial" w:cs="Arial"/>
              <w:sz w:val="20"/>
              <w:szCs w:val="20"/>
            </w:rPr>
            <w:t>Widjajanto</w:t>
          </w:r>
          <w:proofErr w:type="spellEnd"/>
          <w:r w:rsidRPr="000567F1">
            <w:rPr>
              <w:rFonts w:ascii="Arial" w:eastAsia="Times New Roman" w:hAnsi="Arial" w:cs="Arial"/>
              <w:sz w:val="20"/>
              <w:szCs w:val="20"/>
            </w:rPr>
            <w:t xml:space="preserve">, E. and </w:t>
          </w:r>
          <w:proofErr w:type="spellStart"/>
          <w:r w:rsidRPr="000567F1">
            <w:rPr>
              <w:rFonts w:ascii="Arial" w:eastAsia="Times New Roman" w:hAnsi="Arial" w:cs="Arial"/>
              <w:sz w:val="20"/>
              <w:szCs w:val="20"/>
            </w:rPr>
            <w:t>Mataram</w:t>
          </w:r>
          <w:proofErr w:type="spellEnd"/>
          <w:r w:rsidRPr="000567F1">
            <w:rPr>
              <w:rFonts w:ascii="Arial" w:eastAsia="Times New Roman" w:hAnsi="Arial" w:cs="Arial"/>
              <w:sz w:val="20"/>
              <w:szCs w:val="20"/>
            </w:rPr>
            <w:t xml:space="preserve">, P.K. (no date) </w:t>
          </w:r>
          <w:proofErr w:type="spellStart"/>
          <w:r w:rsidRPr="000567F1">
            <w:rPr>
              <w:rFonts w:ascii="Arial" w:eastAsia="Times New Roman" w:hAnsi="Arial" w:cs="Arial"/>
              <w:i/>
              <w:iCs/>
              <w:sz w:val="20"/>
              <w:szCs w:val="20"/>
            </w:rPr>
            <w:t>Serbuk</w:t>
          </w:r>
          <w:proofErr w:type="spellEnd"/>
          <w:r w:rsidRPr="000567F1">
            <w:rPr>
              <w:rFonts w:ascii="Arial" w:eastAsia="Times New Roman" w:hAnsi="Arial" w:cs="Arial"/>
              <w:i/>
              <w:iCs/>
              <w:sz w:val="20"/>
              <w:szCs w:val="20"/>
            </w:rPr>
            <w:t xml:space="preserve"> Daun Kelor </w:t>
          </w:r>
          <w:proofErr w:type="spellStart"/>
          <w:r w:rsidRPr="000567F1">
            <w:rPr>
              <w:rFonts w:ascii="Arial" w:eastAsia="Times New Roman" w:hAnsi="Arial" w:cs="Arial"/>
              <w:i/>
              <w:iCs/>
              <w:sz w:val="20"/>
              <w:szCs w:val="20"/>
            </w:rPr>
            <w:t>Memulihkan</w:t>
          </w:r>
          <w:proofErr w:type="spellEnd"/>
          <w:r w:rsidRPr="000567F1">
            <w:rPr>
              <w:rFonts w:ascii="Arial" w:eastAsia="Times New Roman" w:hAnsi="Arial" w:cs="Arial"/>
              <w:i/>
              <w:iCs/>
              <w:sz w:val="20"/>
              <w:szCs w:val="20"/>
            </w:rPr>
            <w:t xml:space="preserve"> </w:t>
          </w:r>
          <w:proofErr w:type="spellStart"/>
          <w:r w:rsidRPr="000567F1">
            <w:rPr>
              <w:rFonts w:ascii="Arial" w:eastAsia="Times New Roman" w:hAnsi="Arial" w:cs="Arial"/>
              <w:i/>
              <w:iCs/>
              <w:sz w:val="20"/>
              <w:szCs w:val="20"/>
            </w:rPr>
            <w:t>Kondisi</w:t>
          </w:r>
          <w:proofErr w:type="spellEnd"/>
          <w:r w:rsidRPr="000567F1">
            <w:rPr>
              <w:rFonts w:ascii="Arial" w:eastAsia="Times New Roman" w:hAnsi="Arial" w:cs="Arial"/>
              <w:i/>
              <w:iCs/>
              <w:sz w:val="20"/>
              <w:szCs w:val="20"/>
            </w:rPr>
            <w:t xml:space="preserve"> </w:t>
          </w:r>
          <w:proofErr w:type="spellStart"/>
          <w:r w:rsidRPr="000567F1">
            <w:rPr>
              <w:rFonts w:ascii="Arial" w:eastAsia="Times New Roman" w:hAnsi="Arial" w:cs="Arial"/>
              <w:i/>
              <w:iCs/>
              <w:sz w:val="20"/>
              <w:szCs w:val="20"/>
            </w:rPr>
            <w:t>Fisik</w:t>
          </w:r>
          <w:proofErr w:type="spellEnd"/>
          <w:r w:rsidRPr="000567F1">
            <w:rPr>
              <w:rFonts w:ascii="Arial" w:eastAsia="Times New Roman" w:hAnsi="Arial" w:cs="Arial"/>
              <w:i/>
              <w:iCs/>
              <w:sz w:val="20"/>
              <w:szCs w:val="20"/>
            </w:rPr>
            <w:t xml:space="preserve"> Gizi Buruk pada Tikus Model Kurang Energi Protein </w:t>
          </w:r>
          <w:proofErr w:type="gramStart"/>
          <w:r w:rsidRPr="000567F1">
            <w:rPr>
              <w:rFonts w:ascii="Arial" w:eastAsia="Times New Roman" w:hAnsi="Arial" w:cs="Arial"/>
              <w:i/>
              <w:iCs/>
              <w:sz w:val="20"/>
              <w:szCs w:val="20"/>
            </w:rPr>
            <w:t>The</w:t>
          </w:r>
          <w:proofErr w:type="gramEnd"/>
          <w:r w:rsidRPr="000567F1">
            <w:rPr>
              <w:rFonts w:ascii="Arial" w:eastAsia="Times New Roman" w:hAnsi="Arial" w:cs="Arial"/>
              <w:i/>
              <w:iCs/>
              <w:sz w:val="20"/>
              <w:szCs w:val="20"/>
            </w:rPr>
            <w:t xml:space="preserve"> Effect of Leaves Powder Moringa Oleifera in Physical Recovery of Protein Energy Malnutrition Rat Model 1 2</w:t>
          </w:r>
          <w:r w:rsidRPr="000567F1">
            <w:rPr>
              <w:rFonts w:ascii="Arial" w:eastAsia="Times New Roman" w:hAnsi="Arial" w:cs="Arial"/>
              <w:sz w:val="20"/>
              <w:szCs w:val="20"/>
            </w:rPr>
            <w:t>.</w:t>
          </w:r>
        </w:p>
        <w:p w14:paraId="5B03BB34" w14:textId="77777777" w:rsidR="000567F1" w:rsidRPr="000567F1" w:rsidRDefault="000567F1" w:rsidP="000567F1">
          <w:pPr>
            <w:jc w:val="both"/>
            <w:rPr>
              <w:rFonts w:ascii="Arial" w:eastAsia="Times New Roman" w:hAnsi="Arial" w:cs="Arial"/>
              <w:sz w:val="20"/>
              <w:szCs w:val="20"/>
            </w:rPr>
          </w:pPr>
          <w:r w:rsidRPr="000567F1">
            <w:rPr>
              <w:rFonts w:ascii="Arial" w:eastAsia="Times New Roman" w:hAnsi="Arial" w:cs="Arial"/>
              <w:sz w:val="20"/>
              <w:szCs w:val="20"/>
              <w:lang w:val="da-DK"/>
            </w:rPr>
            <w:t xml:space="preserve">Moreira, T.F.M. </w:t>
          </w:r>
          <w:r w:rsidRPr="000567F1">
            <w:rPr>
              <w:rFonts w:ascii="Arial" w:eastAsia="Times New Roman" w:hAnsi="Arial" w:cs="Arial"/>
              <w:i/>
              <w:iCs/>
              <w:sz w:val="20"/>
              <w:szCs w:val="20"/>
              <w:lang w:val="da-DK"/>
            </w:rPr>
            <w:t>et al.</w:t>
          </w:r>
          <w:r w:rsidRPr="000567F1">
            <w:rPr>
              <w:rFonts w:ascii="Arial" w:eastAsia="Times New Roman" w:hAnsi="Arial" w:cs="Arial"/>
              <w:sz w:val="20"/>
              <w:szCs w:val="20"/>
              <w:lang w:val="da-DK"/>
            </w:rPr>
            <w:t xml:space="preserve"> </w:t>
          </w:r>
          <w:r w:rsidRPr="000567F1">
            <w:rPr>
              <w:rFonts w:ascii="Arial" w:eastAsia="Times New Roman" w:hAnsi="Arial" w:cs="Arial"/>
              <w:sz w:val="20"/>
              <w:szCs w:val="20"/>
            </w:rPr>
            <w:t xml:space="preserve">(2023) ‘Fish Protein Hydrolysates: Bioactive Properties, Encapsulation and New Technologies for Enhancing Peptides Bioavailability’, </w:t>
          </w:r>
          <w:r w:rsidRPr="000567F1">
            <w:rPr>
              <w:rFonts w:ascii="Arial" w:eastAsia="Times New Roman" w:hAnsi="Arial" w:cs="Arial"/>
              <w:i/>
              <w:iCs/>
              <w:sz w:val="20"/>
              <w:szCs w:val="20"/>
            </w:rPr>
            <w:t>Current Pharmaceutical Design</w:t>
          </w:r>
          <w:r w:rsidRPr="000567F1">
            <w:rPr>
              <w:rFonts w:ascii="Arial" w:eastAsia="Times New Roman" w:hAnsi="Arial" w:cs="Arial"/>
              <w:sz w:val="20"/>
              <w:szCs w:val="20"/>
            </w:rPr>
            <w:t xml:space="preserve">, 29(11), pp. 824–836. Available at: </w:t>
          </w:r>
          <w:hyperlink r:id="rId14" w:history="1">
            <w:r w:rsidRPr="000567F1">
              <w:rPr>
                <w:rStyle w:val="Hyperlink"/>
                <w:rFonts w:ascii="Arial" w:eastAsia="Times New Roman" w:hAnsi="Arial" w:cs="Arial"/>
                <w:sz w:val="20"/>
                <w:szCs w:val="20"/>
              </w:rPr>
              <w:t>https://doi.org/10.2174/1381612829666230110141811</w:t>
            </w:r>
          </w:hyperlink>
          <w:r w:rsidRPr="000567F1">
            <w:rPr>
              <w:rFonts w:ascii="Arial" w:eastAsia="Times New Roman" w:hAnsi="Arial" w:cs="Arial"/>
              <w:sz w:val="20"/>
              <w:szCs w:val="20"/>
            </w:rPr>
            <w:t>.</w:t>
          </w:r>
        </w:p>
        <w:p w14:paraId="3FB7EAB1" w14:textId="77777777" w:rsidR="000567F1" w:rsidRPr="000567F1" w:rsidRDefault="000567F1" w:rsidP="000567F1">
          <w:pPr>
            <w:jc w:val="both"/>
            <w:rPr>
              <w:rFonts w:ascii="Arial" w:eastAsia="Times New Roman" w:hAnsi="Arial" w:cs="Arial"/>
              <w:sz w:val="20"/>
              <w:szCs w:val="20"/>
            </w:rPr>
          </w:pPr>
          <w:r w:rsidRPr="000567F1">
            <w:rPr>
              <w:rFonts w:ascii="Arial" w:eastAsia="Times New Roman" w:hAnsi="Arial" w:cs="Arial"/>
              <w:sz w:val="20"/>
              <w:szCs w:val="20"/>
            </w:rPr>
            <w:t xml:space="preserve">Parolini, C. </w:t>
          </w:r>
          <w:r w:rsidRPr="000567F1">
            <w:rPr>
              <w:rFonts w:ascii="Arial" w:eastAsia="Times New Roman" w:hAnsi="Arial" w:cs="Arial"/>
              <w:i/>
              <w:iCs/>
              <w:sz w:val="20"/>
              <w:szCs w:val="20"/>
            </w:rPr>
            <w:t>et al.</w:t>
          </w:r>
          <w:r w:rsidRPr="000567F1">
            <w:rPr>
              <w:rFonts w:ascii="Arial" w:eastAsia="Times New Roman" w:hAnsi="Arial" w:cs="Arial"/>
              <w:sz w:val="20"/>
              <w:szCs w:val="20"/>
            </w:rPr>
            <w:t xml:space="preserve"> (2014) ‘A Salmon Protein Hydrolysate Exerts Lipid-Independent Anti-Atherosclerotic Activity in </w:t>
          </w:r>
          <w:proofErr w:type="spellStart"/>
          <w:r w:rsidRPr="000567F1">
            <w:rPr>
              <w:rFonts w:ascii="Arial" w:eastAsia="Times New Roman" w:hAnsi="Arial" w:cs="Arial"/>
              <w:sz w:val="20"/>
              <w:szCs w:val="20"/>
            </w:rPr>
            <w:t>ApoE</w:t>
          </w:r>
          <w:proofErr w:type="spellEnd"/>
          <w:r w:rsidRPr="000567F1">
            <w:rPr>
              <w:rFonts w:ascii="Arial" w:eastAsia="Times New Roman" w:hAnsi="Arial" w:cs="Arial"/>
              <w:sz w:val="20"/>
              <w:szCs w:val="20"/>
            </w:rPr>
            <w:t xml:space="preserve">-Deficient Mice’, </w:t>
          </w:r>
          <w:proofErr w:type="spellStart"/>
          <w:r w:rsidRPr="000567F1">
            <w:rPr>
              <w:rFonts w:ascii="Arial" w:eastAsia="Times New Roman" w:hAnsi="Arial" w:cs="Arial"/>
              <w:i/>
              <w:iCs/>
              <w:sz w:val="20"/>
              <w:szCs w:val="20"/>
            </w:rPr>
            <w:t>PLoS</w:t>
          </w:r>
          <w:proofErr w:type="spellEnd"/>
          <w:r w:rsidRPr="000567F1">
            <w:rPr>
              <w:rFonts w:ascii="Arial" w:eastAsia="Times New Roman" w:hAnsi="Arial" w:cs="Arial"/>
              <w:i/>
              <w:iCs/>
              <w:sz w:val="20"/>
              <w:szCs w:val="20"/>
            </w:rPr>
            <w:t xml:space="preserve"> ONE</w:t>
          </w:r>
          <w:r w:rsidRPr="000567F1">
            <w:rPr>
              <w:rFonts w:ascii="Arial" w:eastAsia="Times New Roman" w:hAnsi="Arial" w:cs="Arial"/>
              <w:sz w:val="20"/>
              <w:szCs w:val="20"/>
            </w:rPr>
            <w:t xml:space="preserve">. Edited by A. Cignarella, 9(5), p. e97598. Available at: </w:t>
          </w:r>
          <w:hyperlink r:id="rId15" w:history="1">
            <w:r w:rsidRPr="000567F1">
              <w:rPr>
                <w:rStyle w:val="Hyperlink"/>
                <w:rFonts w:ascii="Arial" w:eastAsia="Times New Roman" w:hAnsi="Arial" w:cs="Arial"/>
                <w:sz w:val="20"/>
                <w:szCs w:val="20"/>
              </w:rPr>
              <w:t>https://doi.org/10.1371/journal.pone.0097598</w:t>
            </w:r>
          </w:hyperlink>
          <w:r w:rsidRPr="000567F1">
            <w:rPr>
              <w:rFonts w:ascii="Arial" w:eastAsia="Times New Roman" w:hAnsi="Arial" w:cs="Arial"/>
              <w:sz w:val="20"/>
              <w:szCs w:val="20"/>
            </w:rPr>
            <w:t>.</w:t>
          </w:r>
        </w:p>
        <w:p w14:paraId="3298757B" w14:textId="77777777" w:rsidR="000567F1" w:rsidRPr="000567F1" w:rsidRDefault="000567F1" w:rsidP="000567F1">
          <w:pPr>
            <w:jc w:val="both"/>
            <w:rPr>
              <w:rFonts w:ascii="Arial" w:eastAsia="Times New Roman" w:hAnsi="Arial" w:cs="Arial"/>
              <w:sz w:val="20"/>
              <w:szCs w:val="20"/>
            </w:rPr>
          </w:pPr>
          <w:r w:rsidRPr="000567F1">
            <w:rPr>
              <w:rFonts w:ascii="Arial" w:eastAsia="Times New Roman" w:hAnsi="Arial" w:cs="Arial"/>
              <w:sz w:val="20"/>
              <w:szCs w:val="20"/>
            </w:rPr>
            <w:t xml:space="preserve">Pasupuleti, V.K. and Braun, S. (2010) ‘State of the art manufacturing of protein hydrolysates’, </w:t>
          </w:r>
          <w:r w:rsidRPr="000567F1">
            <w:rPr>
              <w:rFonts w:ascii="Arial" w:eastAsia="Times New Roman" w:hAnsi="Arial" w:cs="Arial"/>
              <w:i/>
              <w:iCs/>
              <w:sz w:val="20"/>
              <w:szCs w:val="20"/>
            </w:rPr>
            <w:t>Protein Hydrolysates in Biotechnology</w:t>
          </w:r>
          <w:r w:rsidRPr="000567F1">
            <w:rPr>
              <w:rFonts w:ascii="Arial" w:eastAsia="Times New Roman" w:hAnsi="Arial" w:cs="Arial"/>
              <w:sz w:val="20"/>
              <w:szCs w:val="20"/>
            </w:rPr>
            <w:t xml:space="preserve">, pp. 11–32. Available at: </w:t>
          </w:r>
          <w:hyperlink r:id="rId16" w:history="1">
            <w:r w:rsidRPr="000567F1">
              <w:rPr>
                <w:rStyle w:val="Hyperlink"/>
                <w:rFonts w:ascii="Arial" w:eastAsia="Times New Roman" w:hAnsi="Arial" w:cs="Arial"/>
                <w:sz w:val="20"/>
                <w:szCs w:val="20"/>
              </w:rPr>
              <w:t>https://doi.org/10.1007/978-1-4020-6674-0_2</w:t>
            </w:r>
          </w:hyperlink>
          <w:r w:rsidRPr="000567F1">
            <w:rPr>
              <w:rFonts w:ascii="Arial" w:eastAsia="Times New Roman" w:hAnsi="Arial" w:cs="Arial"/>
              <w:sz w:val="20"/>
              <w:szCs w:val="20"/>
            </w:rPr>
            <w:t>.</w:t>
          </w:r>
        </w:p>
        <w:p w14:paraId="2A5D4CB8" w14:textId="77777777" w:rsidR="000567F1" w:rsidRPr="000567F1" w:rsidRDefault="000567F1" w:rsidP="000567F1">
          <w:pPr>
            <w:jc w:val="both"/>
            <w:rPr>
              <w:rFonts w:ascii="Arial" w:eastAsia="Times New Roman" w:hAnsi="Arial" w:cs="Arial"/>
              <w:sz w:val="20"/>
              <w:szCs w:val="20"/>
            </w:rPr>
          </w:pPr>
          <w:r w:rsidRPr="000567F1">
            <w:rPr>
              <w:rFonts w:ascii="Arial" w:eastAsia="Times New Roman" w:hAnsi="Arial" w:cs="Arial"/>
              <w:sz w:val="20"/>
              <w:szCs w:val="20"/>
            </w:rPr>
            <w:t xml:space="preserve">Prendergast, A.J. and Humphrey, J.H. (2014) ‘The stunting syndrome in developing countries’, </w:t>
          </w:r>
          <w:r w:rsidRPr="000567F1">
            <w:rPr>
              <w:rFonts w:ascii="Arial" w:eastAsia="Times New Roman" w:hAnsi="Arial" w:cs="Arial"/>
              <w:i/>
              <w:iCs/>
              <w:sz w:val="20"/>
              <w:szCs w:val="20"/>
            </w:rPr>
            <w:t>Paediatrics and International Child Health</w:t>
          </w:r>
          <w:r w:rsidRPr="000567F1">
            <w:rPr>
              <w:rFonts w:ascii="Arial" w:eastAsia="Times New Roman" w:hAnsi="Arial" w:cs="Arial"/>
              <w:sz w:val="20"/>
              <w:szCs w:val="20"/>
            </w:rPr>
            <w:t xml:space="preserve">, 34(4), pp. 250–265. Available at: </w:t>
          </w:r>
          <w:hyperlink r:id="rId17" w:history="1">
            <w:r w:rsidRPr="000567F1">
              <w:rPr>
                <w:rStyle w:val="Hyperlink"/>
                <w:rFonts w:ascii="Arial" w:eastAsia="Times New Roman" w:hAnsi="Arial" w:cs="Arial"/>
                <w:sz w:val="20"/>
                <w:szCs w:val="20"/>
              </w:rPr>
              <w:t>https://doi.org/10.1179/2046905514Y.0000000158</w:t>
            </w:r>
          </w:hyperlink>
          <w:r w:rsidRPr="000567F1">
            <w:rPr>
              <w:rFonts w:ascii="Arial" w:eastAsia="Times New Roman" w:hAnsi="Arial" w:cs="Arial"/>
              <w:sz w:val="20"/>
              <w:szCs w:val="20"/>
            </w:rPr>
            <w:t>.</w:t>
          </w:r>
        </w:p>
        <w:p w14:paraId="4F8606E7" w14:textId="77777777" w:rsidR="000567F1" w:rsidRPr="000567F1" w:rsidRDefault="000567F1" w:rsidP="000567F1">
          <w:pPr>
            <w:jc w:val="both"/>
            <w:rPr>
              <w:rFonts w:ascii="Arial" w:eastAsia="Times New Roman" w:hAnsi="Arial" w:cs="Arial"/>
              <w:sz w:val="20"/>
              <w:szCs w:val="20"/>
            </w:rPr>
          </w:pPr>
          <w:r w:rsidRPr="000567F1">
            <w:rPr>
              <w:rFonts w:ascii="Arial" w:eastAsia="Times New Roman" w:hAnsi="Arial" w:cs="Arial"/>
              <w:sz w:val="20"/>
              <w:szCs w:val="20"/>
              <w:lang w:val="da-DK"/>
            </w:rPr>
            <w:t xml:space="preserve">Putranto, H.F. </w:t>
          </w:r>
          <w:r w:rsidRPr="000567F1">
            <w:rPr>
              <w:rFonts w:ascii="Arial" w:eastAsia="Times New Roman" w:hAnsi="Arial" w:cs="Arial"/>
              <w:i/>
              <w:iCs/>
              <w:sz w:val="20"/>
              <w:szCs w:val="20"/>
              <w:lang w:val="da-DK"/>
            </w:rPr>
            <w:t>et al.</w:t>
          </w:r>
          <w:r w:rsidRPr="000567F1">
            <w:rPr>
              <w:rFonts w:ascii="Arial" w:eastAsia="Times New Roman" w:hAnsi="Arial" w:cs="Arial"/>
              <w:sz w:val="20"/>
              <w:szCs w:val="20"/>
              <w:lang w:val="da-DK"/>
            </w:rPr>
            <w:t xml:space="preserve"> (2015) ‘KARAKTERISASI TEPUNG TULANG IKAN BELIDA (Chitala sp.) </w:t>
          </w:r>
          <w:r w:rsidRPr="000567F1">
            <w:rPr>
              <w:rFonts w:ascii="Arial" w:eastAsia="Times New Roman" w:hAnsi="Arial" w:cs="Arial"/>
              <w:sz w:val="20"/>
              <w:szCs w:val="20"/>
            </w:rPr>
            <w:t>SEBAGAI SUMBER KALSIUM DENGAN METODE HIDROLISIS PROTEIN (Properties of Belida (</w:t>
          </w:r>
          <w:proofErr w:type="spellStart"/>
          <w:r w:rsidRPr="000567F1">
            <w:rPr>
              <w:rFonts w:ascii="Arial" w:eastAsia="Times New Roman" w:hAnsi="Arial" w:cs="Arial"/>
              <w:sz w:val="20"/>
              <w:szCs w:val="20"/>
            </w:rPr>
            <w:t>Chitala</w:t>
          </w:r>
          <w:proofErr w:type="spellEnd"/>
          <w:r w:rsidRPr="000567F1">
            <w:rPr>
              <w:rFonts w:ascii="Arial" w:eastAsia="Times New Roman" w:hAnsi="Arial" w:cs="Arial"/>
              <w:sz w:val="20"/>
              <w:szCs w:val="20"/>
            </w:rPr>
            <w:t xml:space="preserve"> sp.) Fish Bone Powder </w:t>
          </w:r>
          <w:proofErr w:type="gramStart"/>
          <w:r w:rsidRPr="000567F1">
            <w:rPr>
              <w:rFonts w:ascii="Arial" w:eastAsia="Times New Roman" w:hAnsi="Arial" w:cs="Arial"/>
              <w:sz w:val="20"/>
              <w:szCs w:val="20"/>
            </w:rPr>
            <w:t>As</w:t>
          </w:r>
          <w:proofErr w:type="gramEnd"/>
          <w:r w:rsidRPr="000567F1">
            <w:rPr>
              <w:rFonts w:ascii="Arial" w:eastAsia="Times New Roman" w:hAnsi="Arial" w:cs="Arial"/>
              <w:sz w:val="20"/>
              <w:szCs w:val="20"/>
            </w:rPr>
            <w:t xml:space="preserve"> Calcium Source Based On Protein Hydrolysis Method)’, 40(1).</w:t>
          </w:r>
        </w:p>
        <w:p w14:paraId="658C8032" w14:textId="77777777" w:rsidR="000567F1" w:rsidRPr="000567F1" w:rsidRDefault="000567F1" w:rsidP="000567F1">
          <w:pPr>
            <w:jc w:val="both"/>
            <w:rPr>
              <w:rFonts w:ascii="Arial" w:eastAsia="Times New Roman" w:hAnsi="Arial" w:cs="Arial"/>
              <w:sz w:val="20"/>
              <w:szCs w:val="20"/>
            </w:rPr>
          </w:pPr>
          <w:r w:rsidRPr="000567F1">
            <w:rPr>
              <w:rFonts w:ascii="Arial" w:eastAsia="Times New Roman" w:hAnsi="Arial" w:cs="Arial"/>
              <w:sz w:val="20"/>
              <w:szCs w:val="20"/>
            </w:rPr>
            <w:t xml:space="preserve">Quinn, R. (2005) ‘Comparing </w:t>
          </w:r>
          <w:proofErr w:type="gramStart"/>
          <w:r w:rsidRPr="000567F1">
            <w:rPr>
              <w:rFonts w:ascii="Arial" w:eastAsia="Times New Roman" w:hAnsi="Arial" w:cs="Arial"/>
              <w:sz w:val="20"/>
              <w:szCs w:val="20"/>
            </w:rPr>
            <w:t>rat’s</w:t>
          </w:r>
          <w:proofErr w:type="gramEnd"/>
          <w:r w:rsidRPr="000567F1">
            <w:rPr>
              <w:rFonts w:ascii="Arial" w:eastAsia="Times New Roman" w:hAnsi="Arial" w:cs="Arial"/>
              <w:sz w:val="20"/>
              <w:szCs w:val="20"/>
            </w:rPr>
            <w:t xml:space="preserve"> to human’s age: how old is my rat in people years?’, </w:t>
          </w:r>
          <w:r w:rsidRPr="000567F1">
            <w:rPr>
              <w:rFonts w:ascii="Arial" w:eastAsia="Times New Roman" w:hAnsi="Arial" w:cs="Arial"/>
              <w:i/>
              <w:iCs/>
              <w:sz w:val="20"/>
              <w:szCs w:val="20"/>
            </w:rPr>
            <w:t>Nutrition (Burbank, Los Angeles County, Calif.)</w:t>
          </w:r>
          <w:r w:rsidRPr="000567F1">
            <w:rPr>
              <w:rFonts w:ascii="Arial" w:eastAsia="Times New Roman" w:hAnsi="Arial" w:cs="Arial"/>
              <w:sz w:val="20"/>
              <w:szCs w:val="20"/>
            </w:rPr>
            <w:t xml:space="preserve">, 21(6), pp. 775–7. Available at: </w:t>
          </w:r>
          <w:hyperlink r:id="rId18" w:history="1">
            <w:r w:rsidRPr="000567F1">
              <w:rPr>
                <w:rStyle w:val="Hyperlink"/>
                <w:rFonts w:ascii="Arial" w:eastAsia="Times New Roman" w:hAnsi="Arial" w:cs="Arial"/>
                <w:sz w:val="20"/>
                <w:szCs w:val="20"/>
              </w:rPr>
              <w:t>https://doi.org/10.1016/j.nut.2005.04.002</w:t>
            </w:r>
          </w:hyperlink>
          <w:r w:rsidRPr="000567F1">
            <w:rPr>
              <w:rFonts w:ascii="Arial" w:eastAsia="Times New Roman" w:hAnsi="Arial" w:cs="Arial"/>
              <w:sz w:val="20"/>
              <w:szCs w:val="20"/>
            </w:rPr>
            <w:t>.</w:t>
          </w:r>
        </w:p>
        <w:p w14:paraId="6FAFC93C" w14:textId="77777777" w:rsidR="000567F1" w:rsidRPr="000567F1" w:rsidRDefault="000567F1" w:rsidP="000567F1">
          <w:pPr>
            <w:jc w:val="both"/>
            <w:rPr>
              <w:rFonts w:ascii="Arial" w:eastAsia="Times New Roman" w:hAnsi="Arial" w:cs="Arial"/>
              <w:sz w:val="20"/>
              <w:szCs w:val="20"/>
            </w:rPr>
          </w:pPr>
          <w:r w:rsidRPr="000567F1">
            <w:rPr>
              <w:rFonts w:ascii="Arial" w:eastAsia="Times New Roman" w:hAnsi="Arial" w:cs="Arial"/>
              <w:sz w:val="20"/>
              <w:szCs w:val="20"/>
            </w:rPr>
            <w:t xml:space="preserve">Semba, R.D. (2016) ‘The Rise and Fall of Protein Malnutrition in Global Health’, </w:t>
          </w:r>
          <w:r w:rsidRPr="000567F1">
            <w:rPr>
              <w:rFonts w:ascii="Arial" w:eastAsia="Times New Roman" w:hAnsi="Arial" w:cs="Arial"/>
              <w:i/>
              <w:iCs/>
              <w:sz w:val="20"/>
              <w:szCs w:val="20"/>
            </w:rPr>
            <w:t>Annals of Nutrition and Metabolism</w:t>
          </w:r>
          <w:r w:rsidRPr="000567F1">
            <w:rPr>
              <w:rFonts w:ascii="Arial" w:eastAsia="Times New Roman" w:hAnsi="Arial" w:cs="Arial"/>
              <w:sz w:val="20"/>
              <w:szCs w:val="20"/>
            </w:rPr>
            <w:t xml:space="preserve">, 69(2), pp. 79–88. Available at: </w:t>
          </w:r>
          <w:hyperlink r:id="rId19" w:history="1">
            <w:r w:rsidRPr="000567F1">
              <w:rPr>
                <w:rStyle w:val="Hyperlink"/>
                <w:rFonts w:ascii="Arial" w:eastAsia="Times New Roman" w:hAnsi="Arial" w:cs="Arial"/>
                <w:sz w:val="20"/>
                <w:szCs w:val="20"/>
              </w:rPr>
              <w:t>https://doi.org/10.1159/000449175</w:t>
            </w:r>
          </w:hyperlink>
          <w:r w:rsidRPr="000567F1">
            <w:rPr>
              <w:rFonts w:ascii="Arial" w:eastAsia="Times New Roman" w:hAnsi="Arial" w:cs="Arial"/>
              <w:sz w:val="20"/>
              <w:szCs w:val="20"/>
            </w:rPr>
            <w:t>.</w:t>
          </w:r>
        </w:p>
        <w:p w14:paraId="23C93887" w14:textId="77777777" w:rsidR="000567F1" w:rsidRPr="000567F1" w:rsidRDefault="000567F1" w:rsidP="000567F1">
          <w:pPr>
            <w:jc w:val="both"/>
            <w:rPr>
              <w:rFonts w:ascii="Arial" w:eastAsia="Times New Roman" w:hAnsi="Arial" w:cs="Arial"/>
              <w:sz w:val="20"/>
              <w:szCs w:val="20"/>
            </w:rPr>
          </w:pPr>
          <w:r w:rsidRPr="000567F1">
            <w:rPr>
              <w:rFonts w:ascii="Arial" w:eastAsia="Times New Roman" w:hAnsi="Arial" w:cs="Arial"/>
              <w:sz w:val="20"/>
              <w:szCs w:val="20"/>
            </w:rPr>
            <w:t xml:space="preserve">Sengupta, P. (2013) ‘The Laboratory Rat: Relating Its Age </w:t>
          </w:r>
          <w:proofErr w:type="gramStart"/>
          <w:r w:rsidRPr="000567F1">
            <w:rPr>
              <w:rFonts w:ascii="Arial" w:eastAsia="Times New Roman" w:hAnsi="Arial" w:cs="Arial"/>
              <w:sz w:val="20"/>
              <w:szCs w:val="20"/>
            </w:rPr>
            <w:t>With</w:t>
          </w:r>
          <w:proofErr w:type="gramEnd"/>
          <w:r w:rsidRPr="000567F1">
            <w:rPr>
              <w:rFonts w:ascii="Arial" w:eastAsia="Times New Roman" w:hAnsi="Arial" w:cs="Arial"/>
              <w:sz w:val="20"/>
              <w:szCs w:val="20"/>
            </w:rPr>
            <w:t xml:space="preserve"> Human’s.’, </w:t>
          </w:r>
          <w:r w:rsidRPr="000567F1">
            <w:rPr>
              <w:rFonts w:ascii="Arial" w:eastAsia="Times New Roman" w:hAnsi="Arial" w:cs="Arial"/>
              <w:i/>
              <w:iCs/>
              <w:sz w:val="20"/>
              <w:szCs w:val="20"/>
            </w:rPr>
            <w:t>International journal of preventive medicine</w:t>
          </w:r>
          <w:r w:rsidRPr="000567F1">
            <w:rPr>
              <w:rFonts w:ascii="Arial" w:eastAsia="Times New Roman" w:hAnsi="Arial" w:cs="Arial"/>
              <w:sz w:val="20"/>
              <w:szCs w:val="20"/>
            </w:rPr>
            <w:t>, 4(6), pp. 624–30.</w:t>
          </w:r>
        </w:p>
        <w:p w14:paraId="4A557BC1" w14:textId="77777777" w:rsidR="000567F1" w:rsidRPr="000567F1" w:rsidRDefault="000567F1" w:rsidP="000567F1">
          <w:pPr>
            <w:jc w:val="both"/>
            <w:rPr>
              <w:rFonts w:ascii="Arial" w:eastAsia="Times New Roman" w:hAnsi="Arial" w:cs="Arial"/>
              <w:sz w:val="20"/>
              <w:szCs w:val="20"/>
            </w:rPr>
          </w:pPr>
          <w:r w:rsidRPr="000567F1">
            <w:rPr>
              <w:rFonts w:ascii="Arial" w:eastAsia="Times New Roman" w:hAnsi="Arial" w:cs="Arial"/>
              <w:sz w:val="20"/>
              <w:szCs w:val="20"/>
              <w:lang w:val="da-DK"/>
            </w:rPr>
            <w:t xml:space="preserve">Shaaban, S.Y. </w:t>
          </w:r>
          <w:r w:rsidRPr="000567F1">
            <w:rPr>
              <w:rFonts w:ascii="Arial" w:eastAsia="Times New Roman" w:hAnsi="Arial" w:cs="Arial"/>
              <w:i/>
              <w:iCs/>
              <w:sz w:val="20"/>
              <w:szCs w:val="20"/>
              <w:lang w:val="da-DK"/>
            </w:rPr>
            <w:t>et al.</w:t>
          </w:r>
          <w:r w:rsidRPr="000567F1">
            <w:rPr>
              <w:rFonts w:ascii="Arial" w:eastAsia="Times New Roman" w:hAnsi="Arial" w:cs="Arial"/>
              <w:sz w:val="20"/>
              <w:szCs w:val="20"/>
              <w:lang w:val="da-DK"/>
            </w:rPr>
            <w:t xml:space="preserve"> </w:t>
          </w:r>
          <w:r w:rsidRPr="000567F1">
            <w:rPr>
              <w:rFonts w:ascii="Arial" w:eastAsia="Times New Roman" w:hAnsi="Arial" w:cs="Arial"/>
              <w:sz w:val="20"/>
              <w:szCs w:val="20"/>
            </w:rPr>
            <w:t xml:space="preserve">(2005) ‘Early detection of protein energy malnutrition in Sharkia Governorate.’, </w:t>
          </w:r>
          <w:r w:rsidRPr="000567F1">
            <w:rPr>
              <w:rFonts w:ascii="Arial" w:eastAsia="Times New Roman" w:hAnsi="Arial" w:cs="Arial"/>
              <w:i/>
              <w:iCs/>
              <w:sz w:val="20"/>
              <w:szCs w:val="20"/>
            </w:rPr>
            <w:t>The Journal of the Egyptian Public Health Association</w:t>
          </w:r>
          <w:r w:rsidRPr="000567F1">
            <w:rPr>
              <w:rFonts w:ascii="Arial" w:eastAsia="Times New Roman" w:hAnsi="Arial" w:cs="Arial"/>
              <w:sz w:val="20"/>
              <w:szCs w:val="20"/>
            </w:rPr>
            <w:t>, 80(5–6), pp. 665–85.</w:t>
          </w:r>
        </w:p>
        <w:p w14:paraId="69A290A8" w14:textId="77777777" w:rsidR="000567F1" w:rsidRPr="000567F1" w:rsidRDefault="000567F1" w:rsidP="000567F1">
          <w:pPr>
            <w:jc w:val="both"/>
            <w:rPr>
              <w:rFonts w:ascii="Arial" w:eastAsia="Times New Roman" w:hAnsi="Arial" w:cs="Arial"/>
              <w:sz w:val="20"/>
              <w:szCs w:val="20"/>
            </w:rPr>
          </w:pPr>
          <w:r w:rsidRPr="000567F1">
            <w:rPr>
              <w:rFonts w:ascii="Arial" w:eastAsia="Times New Roman" w:hAnsi="Arial" w:cs="Arial"/>
              <w:sz w:val="20"/>
              <w:szCs w:val="20"/>
              <w:lang w:val="da-DK"/>
            </w:rPr>
            <w:t xml:space="preserve">Suratri, M.A.L. </w:t>
          </w:r>
          <w:r w:rsidRPr="000567F1">
            <w:rPr>
              <w:rFonts w:ascii="Arial" w:eastAsia="Times New Roman" w:hAnsi="Arial" w:cs="Arial"/>
              <w:i/>
              <w:iCs/>
              <w:sz w:val="20"/>
              <w:szCs w:val="20"/>
              <w:lang w:val="da-DK"/>
            </w:rPr>
            <w:t>et al.</w:t>
          </w:r>
          <w:r w:rsidRPr="000567F1">
            <w:rPr>
              <w:rFonts w:ascii="Arial" w:eastAsia="Times New Roman" w:hAnsi="Arial" w:cs="Arial"/>
              <w:sz w:val="20"/>
              <w:szCs w:val="20"/>
              <w:lang w:val="da-DK"/>
            </w:rPr>
            <w:t xml:space="preserve"> </w:t>
          </w:r>
          <w:r w:rsidRPr="000567F1">
            <w:rPr>
              <w:rFonts w:ascii="Arial" w:eastAsia="Times New Roman" w:hAnsi="Arial" w:cs="Arial"/>
              <w:sz w:val="20"/>
              <w:szCs w:val="20"/>
            </w:rPr>
            <w:t xml:space="preserve">(2023) ‘Risk Factors for Stunting among Children under Five Years in the Province of East Nusa Tenggara (NTT), Indonesia’, </w:t>
          </w:r>
          <w:r w:rsidRPr="000567F1">
            <w:rPr>
              <w:rFonts w:ascii="Arial" w:eastAsia="Times New Roman" w:hAnsi="Arial" w:cs="Arial"/>
              <w:i/>
              <w:iCs/>
              <w:sz w:val="20"/>
              <w:szCs w:val="20"/>
            </w:rPr>
            <w:t>International Journal of Environmental Research and Public Health</w:t>
          </w:r>
          <w:r w:rsidRPr="000567F1">
            <w:rPr>
              <w:rFonts w:ascii="Arial" w:eastAsia="Times New Roman" w:hAnsi="Arial" w:cs="Arial"/>
              <w:sz w:val="20"/>
              <w:szCs w:val="20"/>
            </w:rPr>
            <w:t xml:space="preserve">, 20(2). Available at: </w:t>
          </w:r>
          <w:hyperlink r:id="rId20" w:history="1">
            <w:r w:rsidRPr="000567F1">
              <w:rPr>
                <w:rStyle w:val="Hyperlink"/>
                <w:rFonts w:ascii="Arial" w:eastAsia="Times New Roman" w:hAnsi="Arial" w:cs="Arial"/>
                <w:sz w:val="20"/>
                <w:szCs w:val="20"/>
              </w:rPr>
              <w:t>https://doi.org/10.3390/ijerph20021640</w:t>
            </w:r>
          </w:hyperlink>
          <w:r w:rsidRPr="000567F1">
            <w:rPr>
              <w:rFonts w:ascii="Arial" w:eastAsia="Times New Roman" w:hAnsi="Arial" w:cs="Arial"/>
              <w:sz w:val="20"/>
              <w:szCs w:val="20"/>
            </w:rPr>
            <w:t>.</w:t>
          </w:r>
        </w:p>
        <w:p w14:paraId="052E1426" w14:textId="77777777" w:rsidR="000567F1" w:rsidRPr="000567F1" w:rsidRDefault="000567F1" w:rsidP="000567F1">
          <w:pPr>
            <w:jc w:val="both"/>
            <w:rPr>
              <w:rFonts w:ascii="Arial" w:eastAsia="Times New Roman" w:hAnsi="Arial" w:cs="Arial"/>
              <w:sz w:val="20"/>
              <w:szCs w:val="20"/>
            </w:rPr>
          </w:pPr>
          <w:proofErr w:type="spellStart"/>
          <w:r w:rsidRPr="000567F1">
            <w:rPr>
              <w:rFonts w:ascii="Arial" w:eastAsia="Times New Roman" w:hAnsi="Arial" w:cs="Arial"/>
              <w:sz w:val="20"/>
              <w:szCs w:val="20"/>
            </w:rPr>
            <w:t>Tarmizi</w:t>
          </w:r>
          <w:proofErr w:type="spellEnd"/>
          <w:r w:rsidRPr="000567F1">
            <w:rPr>
              <w:rFonts w:ascii="Arial" w:eastAsia="Times New Roman" w:hAnsi="Arial" w:cs="Arial"/>
              <w:sz w:val="20"/>
              <w:szCs w:val="20"/>
            </w:rPr>
            <w:t xml:space="preserve">, S.N. (2023) </w:t>
          </w:r>
          <w:proofErr w:type="spellStart"/>
          <w:r w:rsidRPr="000567F1">
            <w:rPr>
              <w:rFonts w:ascii="Arial" w:eastAsia="Times New Roman" w:hAnsi="Arial" w:cs="Arial"/>
              <w:i/>
              <w:iCs/>
              <w:sz w:val="20"/>
              <w:szCs w:val="20"/>
            </w:rPr>
            <w:t>Prevalensi</w:t>
          </w:r>
          <w:proofErr w:type="spellEnd"/>
          <w:r w:rsidRPr="000567F1">
            <w:rPr>
              <w:rFonts w:ascii="Arial" w:eastAsia="Times New Roman" w:hAnsi="Arial" w:cs="Arial"/>
              <w:i/>
              <w:iCs/>
              <w:sz w:val="20"/>
              <w:szCs w:val="20"/>
            </w:rPr>
            <w:t xml:space="preserve"> Stunting </w:t>
          </w:r>
          <w:proofErr w:type="gramStart"/>
          <w:r w:rsidRPr="000567F1">
            <w:rPr>
              <w:rFonts w:ascii="Arial" w:eastAsia="Times New Roman" w:hAnsi="Arial" w:cs="Arial"/>
              <w:i/>
              <w:iCs/>
              <w:sz w:val="20"/>
              <w:szCs w:val="20"/>
            </w:rPr>
            <w:t>Di</w:t>
          </w:r>
          <w:proofErr w:type="gramEnd"/>
          <w:r w:rsidRPr="000567F1">
            <w:rPr>
              <w:rFonts w:ascii="Arial" w:eastAsia="Times New Roman" w:hAnsi="Arial" w:cs="Arial"/>
              <w:i/>
              <w:iCs/>
              <w:sz w:val="20"/>
              <w:szCs w:val="20"/>
            </w:rPr>
            <w:t xml:space="preserve"> Indonesia</w:t>
          </w:r>
          <w:r w:rsidRPr="000567F1">
            <w:rPr>
              <w:rFonts w:ascii="Arial" w:eastAsia="Times New Roman" w:hAnsi="Arial" w:cs="Arial"/>
              <w:sz w:val="20"/>
              <w:szCs w:val="20"/>
            </w:rPr>
            <w:t xml:space="preserve">, </w:t>
          </w:r>
          <w:r w:rsidRPr="000567F1">
            <w:rPr>
              <w:rFonts w:ascii="Arial" w:eastAsia="Times New Roman" w:hAnsi="Arial" w:cs="Arial"/>
              <w:i/>
              <w:iCs/>
              <w:sz w:val="20"/>
              <w:szCs w:val="20"/>
            </w:rPr>
            <w:t xml:space="preserve">Biro </w:t>
          </w:r>
          <w:proofErr w:type="spellStart"/>
          <w:r w:rsidRPr="000567F1">
            <w:rPr>
              <w:rFonts w:ascii="Arial" w:eastAsia="Times New Roman" w:hAnsi="Arial" w:cs="Arial"/>
              <w:i/>
              <w:iCs/>
              <w:sz w:val="20"/>
              <w:szCs w:val="20"/>
            </w:rPr>
            <w:t>Komunikasi</w:t>
          </w:r>
          <w:proofErr w:type="spellEnd"/>
          <w:r w:rsidRPr="000567F1">
            <w:rPr>
              <w:rFonts w:ascii="Arial" w:eastAsia="Times New Roman" w:hAnsi="Arial" w:cs="Arial"/>
              <w:i/>
              <w:iCs/>
              <w:sz w:val="20"/>
              <w:szCs w:val="20"/>
            </w:rPr>
            <w:t xml:space="preserve"> dan </w:t>
          </w:r>
          <w:proofErr w:type="spellStart"/>
          <w:r w:rsidRPr="000567F1">
            <w:rPr>
              <w:rFonts w:ascii="Arial" w:eastAsia="Times New Roman" w:hAnsi="Arial" w:cs="Arial"/>
              <w:i/>
              <w:iCs/>
              <w:sz w:val="20"/>
              <w:szCs w:val="20"/>
            </w:rPr>
            <w:t>Pelayanan</w:t>
          </w:r>
          <w:proofErr w:type="spellEnd"/>
          <w:r w:rsidRPr="000567F1">
            <w:rPr>
              <w:rFonts w:ascii="Arial" w:eastAsia="Times New Roman" w:hAnsi="Arial" w:cs="Arial"/>
              <w:i/>
              <w:iCs/>
              <w:sz w:val="20"/>
              <w:szCs w:val="20"/>
            </w:rPr>
            <w:t xml:space="preserve"> Publik Kementerian Kesehatan</w:t>
          </w:r>
          <w:r w:rsidRPr="000567F1">
            <w:rPr>
              <w:rFonts w:ascii="Arial" w:eastAsia="Times New Roman" w:hAnsi="Arial" w:cs="Arial"/>
              <w:sz w:val="20"/>
              <w:szCs w:val="20"/>
            </w:rPr>
            <w:t>. Available at: https://sehatnegeriku.kemkes.go.id/baca/rilis-</w:t>
          </w:r>
          <w:r w:rsidRPr="000567F1">
            <w:rPr>
              <w:rFonts w:ascii="Arial" w:eastAsia="Times New Roman" w:hAnsi="Arial" w:cs="Arial"/>
              <w:sz w:val="20"/>
              <w:szCs w:val="20"/>
            </w:rPr>
            <w:lastRenderedPageBreak/>
            <w:t>media/20230125/3142280/prevalensi-stunting-di-indonesia-turun-ke-216-dari-244/ (Accessed: 8 March 2024).</w:t>
          </w:r>
        </w:p>
        <w:p w14:paraId="2D938262" w14:textId="77777777" w:rsidR="000567F1" w:rsidRPr="000567F1" w:rsidRDefault="000567F1" w:rsidP="000567F1">
          <w:pPr>
            <w:jc w:val="both"/>
            <w:rPr>
              <w:rFonts w:ascii="Arial" w:eastAsia="Times New Roman" w:hAnsi="Arial" w:cs="Arial"/>
              <w:sz w:val="20"/>
              <w:szCs w:val="20"/>
            </w:rPr>
          </w:pPr>
          <w:r w:rsidRPr="000567F1">
            <w:rPr>
              <w:rFonts w:ascii="Arial" w:eastAsia="Times New Roman" w:hAnsi="Arial" w:cs="Arial"/>
              <w:sz w:val="20"/>
              <w:szCs w:val="20"/>
            </w:rPr>
            <w:t xml:space="preserve">UNICEF, WHO and World Bank Group (2023) </w:t>
          </w:r>
          <w:r w:rsidRPr="000567F1">
            <w:rPr>
              <w:rFonts w:ascii="Arial" w:eastAsia="Times New Roman" w:hAnsi="Arial" w:cs="Arial"/>
              <w:i/>
              <w:iCs/>
              <w:sz w:val="20"/>
              <w:szCs w:val="20"/>
            </w:rPr>
            <w:t>Levels and Trends in Child WHO, UNICEF 2022 Report</w:t>
          </w:r>
          <w:r w:rsidRPr="000567F1">
            <w:rPr>
              <w:rFonts w:ascii="Arial" w:eastAsia="Times New Roman" w:hAnsi="Arial" w:cs="Arial"/>
              <w:sz w:val="20"/>
              <w:szCs w:val="20"/>
            </w:rPr>
            <w:t>.</w:t>
          </w:r>
        </w:p>
        <w:p w14:paraId="0EFDA7B8" w14:textId="77777777" w:rsidR="000567F1" w:rsidRPr="000567F1" w:rsidRDefault="000567F1" w:rsidP="000567F1">
          <w:pPr>
            <w:jc w:val="both"/>
            <w:rPr>
              <w:rFonts w:ascii="Arial" w:eastAsia="Times New Roman" w:hAnsi="Arial" w:cs="Arial"/>
              <w:sz w:val="20"/>
              <w:szCs w:val="20"/>
            </w:rPr>
          </w:pPr>
          <w:r w:rsidRPr="000567F1">
            <w:rPr>
              <w:rFonts w:ascii="Arial" w:eastAsia="Times New Roman" w:hAnsi="Arial" w:cs="Arial"/>
              <w:sz w:val="20"/>
              <w:szCs w:val="20"/>
              <w:lang w:val="da-DK"/>
            </w:rPr>
            <w:t xml:space="preserve">Victora, C.G. </w:t>
          </w:r>
          <w:r w:rsidRPr="000567F1">
            <w:rPr>
              <w:rFonts w:ascii="Arial" w:eastAsia="Times New Roman" w:hAnsi="Arial" w:cs="Arial"/>
              <w:i/>
              <w:iCs/>
              <w:sz w:val="20"/>
              <w:szCs w:val="20"/>
              <w:lang w:val="da-DK"/>
            </w:rPr>
            <w:t>et al.</w:t>
          </w:r>
          <w:r w:rsidRPr="000567F1">
            <w:rPr>
              <w:rFonts w:ascii="Arial" w:eastAsia="Times New Roman" w:hAnsi="Arial" w:cs="Arial"/>
              <w:sz w:val="20"/>
              <w:szCs w:val="20"/>
              <w:lang w:val="da-DK"/>
            </w:rPr>
            <w:t xml:space="preserve"> </w:t>
          </w:r>
          <w:r w:rsidRPr="000567F1">
            <w:rPr>
              <w:rFonts w:ascii="Arial" w:eastAsia="Times New Roman" w:hAnsi="Arial" w:cs="Arial"/>
              <w:sz w:val="20"/>
              <w:szCs w:val="20"/>
            </w:rPr>
            <w:t xml:space="preserve">(2021) ‘Revisiting maternal and child undernutrition in low-income and middle-income countries: variable progress towards an unfinished agenda’, </w:t>
          </w:r>
          <w:r w:rsidRPr="000567F1">
            <w:rPr>
              <w:rFonts w:ascii="Arial" w:eastAsia="Times New Roman" w:hAnsi="Arial" w:cs="Arial"/>
              <w:i/>
              <w:iCs/>
              <w:sz w:val="20"/>
              <w:szCs w:val="20"/>
            </w:rPr>
            <w:t>The Lancet</w:t>
          </w:r>
          <w:r w:rsidRPr="000567F1">
            <w:rPr>
              <w:rFonts w:ascii="Arial" w:eastAsia="Times New Roman" w:hAnsi="Arial" w:cs="Arial"/>
              <w:sz w:val="20"/>
              <w:szCs w:val="20"/>
            </w:rPr>
            <w:t xml:space="preserve">, 397(10282), pp. 1388–1399. Available at: </w:t>
          </w:r>
          <w:hyperlink r:id="rId21" w:history="1">
            <w:r w:rsidRPr="000567F1">
              <w:rPr>
                <w:rStyle w:val="Hyperlink"/>
                <w:rFonts w:ascii="Arial" w:eastAsia="Times New Roman" w:hAnsi="Arial" w:cs="Arial"/>
                <w:sz w:val="20"/>
                <w:szCs w:val="20"/>
              </w:rPr>
              <w:t>https://doi.org/10.1016/S0140-6736(21)00394-9</w:t>
            </w:r>
          </w:hyperlink>
          <w:r w:rsidRPr="000567F1">
            <w:rPr>
              <w:rFonts w:ascii="Arial" w:eastAsia="Times New Roman" w:hAnsi="Arial" w:cs="Arial"/>
              <w:sz w:val="20"/>
              <w:szCs w:val="20"/>
            </w:rPr>
            <w:t>.</w:t>
          </w:r>
        </w:p>
        <w:p w14:paraId="18E7620E" w14:textId="77777777" w:rsidR="000567F1" w:rsidRDefault="000567F1" w:rsidP="000567F1">
          <w:pPr>
            <w:jc w:val="both"/>
            <w:rPr>
              <w:rFonts w:ascii="Times New Roman" w:hAnsi="Times New Roman" w:cs="Times New Roman"/>
            </w:rPr>
          </w:pPr>
          <w:r w:rsidRPr="000567F1">
            <w:rPr>
              <w:rFonts w:ascii="Arial" w:eastAsia="Times New Roman" w:hAnsi="Arial" w:cs="Arial"/>
              <w:sz w:val="20"/>
              <w:szCs w:val="20"/>
            </w:rPr>
            <w:t xml:space="preserve">World Bank Group (2019) </w:t>
          </w:r>
          <w:r w:rsidRPr="000567F1">
            <w:rPr>
              <w:rFonts w:ascii="Arial" w:eastAsia="Times New Roman" w:hAnsi="Arial" w:cs="Arial"/>
              <w:i/>
              <w:iCs/>
              <w:sz w:val="20"/>
              <w:szCs w:val="20"/>
            </w:rPr>
            <w:t xml:space="preserve">Indonesia Economic Quarterly: Building Human Capital </w:t>
          </w:r>
          <w:proofErr w:type="gramStart"/>
          <w:r w:rsidRPr="000567F1">
            <w:rPr>
              <w:rFonts w:ascii="Arial" w:eastAsia="Times New Roman" w:hAnsi="Arial" w:cs="Arial"/>
              <w:i/>
              <w:iCs/>
              <w:sz w:val="20"/>
              <w:szCs w:val="20"/>
            </w:rPr>
            <w:t>For</w:t>
          </w:r>
          <w:proofErr w:type="gramEnd"/>
          <w:r w:rsidRPr="000567F1">
            <w:rPr>
              <w:rFonts w:ascii="Arial" w:eastAsia="Times New Roman" w:hAnsi="Arial" w:cs="Arial"/>
              <w:i/>
              <w:iCs/>
              <w:sz w:val="20"/>
              <w:szCs w:val="20"/>
            </w:rPr>
            <w:t xml:space="preserve"> Quality Growth</w:t>
          </w:r>
          <w:r w:rsidRPr="000567F1">
            <w:rPr>
              <w:rFonts w:ascii="Arial" w:eastAsia="Times New Roman" w:hAnsi="Arial" w:cs="Arial"/>
              <w:sz w:val="20"/>
              <w:szCs w:val="20"/>
            </w:rPr>
            <w:t>. Washington DC</w:t>
          </w:r>
        </w:p>
      </w:sdtContent>
    </w:sdt>
    <w:p w14:paraId="12F4781E" w14:textId="77777777" w:rsidR="000567F1" w:rsidRPr="000567F1" w:rsidRDefault="000567F1" w:rsidP="000567F1">
      <w:pPr>
        <w:rPr>
          <w:rFonts w:ascii="Arial" w:hAnsi="Arial" w:cs="Arial"/>
        </w:rPr>
      </w:pPr>
    </w:p>
    <w:sectPr w:rsidR="000567F1" w:rsidRPr="000567F1" w:rsidSect="002957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7128"/>
    <w:multiLevelType w:val="multilevel"/>
    <w:tmpl w:val="A5EC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055E0"/>
    <w:multiLevelType w:val="multilevel"/>
    <w:tmpl w:val="7F3CB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1628299">
    <w:abstractNumId w:val="0"/>
  </w:num>
  <w:num w:numId="2" w16cid:durableId="707073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F1"/>
    <w:rsid w:val="000567F1"/>
    <w:rsid w:val="00092829"/>
    <w:rsid w:val="0029579B"/>
    <w:rsid w:val="002A66F6"/>
    <w:rsid w:val="003E66FC"/>
    <w:rsid w:val="0049541C"/>
    <w:rsid w:val="004E75F2"/>
    <w:rsid w:val="00507584"/>
    <w:rsid w:val="00517985"/>
    <w:rsid w:val="007B673E"/>
    <w:rsid w:val="00A3035D"/>
    <w:rsid w:val="00B55CD8"/>
    <w:rsid w:val="00BC735A"/>
    <w:rsid w:val="00C315B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32B2"/>
  <w15:chartTrackingRefBased/>
  <w15:docId w15:val="{76B48992-C14A-4601-8F1D-4FF84DAE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7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67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67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67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67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67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67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67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67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7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67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67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67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67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67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67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67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67F1"/>
    <w:rPr>
      <w:rFonts w:eastAsiaTheme="majorEastAsia" w:cstheme="majorBidi"/>
      <w:color w:val="272727" w:themeColor="text1" w:themeTint="D8"/>
    </w:rPr>
  </w:style>
  <w:style w:type="paragraph" w:styleId="Title">
    <w:name w:val="Title"/>
    <w:basedOn w:val="Normal"/>
    <w:next w:val="Normal"/>
    <w:link w:val="TitleChar"/>
    <w:uiPriority w:val="10"/>
    <w:qFormat/>
    <w:rsid w:val="000567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7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67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67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67F1"/>
    <w:pPr>
      <w:spacing w:before="160"/>
      <w:jc w:val="center"/>
    </w:pPr>
    <w:rPr>
      <w:i/>
      <w:iCs/>
      <w:color w:val="404040" w:themeColor="text1" w:themeTint="BF"/>
    </w:rPr>
  </w:style>
  <w:style w:type="character" w:customStyle="1" w:styleId="QuoteChar">
    <w:name w:val="Quote Char"/>
    <w:basedOn w:val="DefaultParagraphFont"/>
    <w:link w:val="Quote"/>
    <w:uiPriority w:val="29"/>
    <w:rsid w:val="000567F1"/>
    <w:rPr>
      <w:i/>
      <w:iCs/>
      <w:color w:val="404040" w:themeColor="text1" w:themeTint="BF"/>
    </w:rPr>
  </w:style>
  <w:style w:type="paragraph" w:styleId="ListParagraph">
    <w:name w:val="List Paragraph"/>
    <w:basedOn w:val="Normal"/>
    <w:uiPriority w:val="34"/>
    <w:qFormat/>
    <w:rsid w:val="000567F1"/>
    <w:pPr>
      <w:ind w:left="720"/>
      <w:contextualSpacing/>
    </w:pPr>
  </w:style>
  <w:style w:type="character" w:styleId="IntenseEmphasis">
    <w:name w:val="Intense Emphasis"/>
    <w:basedOn w:val="DefaultParagraphFont"/>
    <w:uiPriority w:val="21"/>
    <w:qFormat/>
    <w:rsid w:val="000567F1"/>
    <w:rPr>
      <w:i/>
      <w:iCs/>
      <w:color w:val="0F4761" w:themeColor="accent1" w:themeShade="BF"/>
    </w:rPr>
  </w:style>
  <w:style w:type="paragraph" w:styleId="IntenseQuote">
    <w:name w:val="Intense Quote"/>
    <w:basedOn w:val="Normal"/>
    <w:next w:val="Normal"/>
    <w:link w:val="IntenseQuoteChar"/>
    <w:uiPriority w:val="30"/>
    <w:qFormat/>
    <w:rsid w:val="000567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67F1"/>
    <w:rPr>
      <w:i/>
      <w:iCs/>
      <w:color w:val="0F4761" w:themeColor="accent1" w:themeShade="BF"/>
    </w:rPr>
  </w:style>
  <w:style w:type="character" w:styleId="IntenseReference">
    <w:name w:val="Intense Reference"/>
    <w:basedOn w:val="DefaultParagraphFont"/>
    <w:uiPriority w:val="32"/>
    <w:qFormat/>
    <w:rsid w:val="000567F1"/>
    <w:rPr>
      <w:b/>
      <w:bCs/>
      <w:smallCaps/>
      <w:color w:val="0F4761" w:themeColor="accent1" w:themeShade="BF"/>
      <w:spacing w:val="5"/>
    </w:rPr>
  </w:style>
  <w:style w:type="paragraph" w:customStyle="1" w:styleId="PaperAuthor">
    <w:name w:val="Paper Author"/>
    <w:next w:val="Normal"/>
    <w:uiPriority w:val="99"/>
    <w:rsid w:val="000567F1"/>
    <w:pPr>
      <w:spacing w:after="0" w:line="480" w:lineRule="auto"/>
      <w:jc w:val="center"/>
    </w:pPr>
    <w:rPr>
      <w:rFonts w:ascii="Times New Roman" w:eastAsia="Calibri" w:hAnsi="Times New Roman" w:cs="Times New Roman"/>
      <w:color w:val="000000"/>
      <w:sz w:val="24"/>
      <w:szCs w:val="24"/>
      <w:lang w:val="en-US"/>
      <w14:ligatures w14:val="none"/>
    </w:rPr>
  </w:style>
  <w:style w:type="paragraph" w:customStyle="1" w:styleId="Affiliation">
    <w:name w:val="Affiliation"/>
    <w:uiPriority w:val="99"/>
    <w:qFormat/>
    <w:rsid w:val="000567F1"/>
    <w:pPr>
      <w:spacing w:after="0" w:line="480" w:lineRule="auto"/>
      <w:jc w:val="center"/>
    </w:pPr>
    <w:rPr>
      <w:rFonts w:ascii="Times New Roman" w:hAnsi="Times New Roman" w:cs="Times New Roman"/>
      <w:color w:val="000000" w:themeColor="text1"/>
      <w:sz w:val="24"/>
      <w:szCs w:val="24"/>
      <w:lang w:val="en-US"/>
      <w14:ligatures w14:val="none"/>
    </w:rPr>
  </w:style>
  <w:style w:type="character" w:styleId="Hyperlink">
    <w:name w:val="Hyperlink"/>
    <w:basedOn w:val="DefaultParagraphFont"/>
    <w:uiPriority w:val="99"/>
    <w:rsid w:val="000567F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380217">
      <w:bodyDiv w:val="1"/>
      <w:marLeft w:val="0"/>
      <w:marRight w:val="0"/>
      <w:marTop w:val="0"/>
      <w:marBottom w:val="0"/>
      <w:divBdr>
        <w:top w:val="none" w:sz="0" w:space="0" w:color="auto"/>
        <w:left w:val="none" w:sz="0" w:space="0" w:color="auto"/>
        <w:bottom w:val="none" w:sz="0" w:space="0" w:color="auto"/>
        <w:right w:val="none" w:sz="0" w:space="0" w:color="auto"/>
      </w:divBdr>
    </w:div>
    <w:div w:id="207253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788-8512" TargetMode="External"/><Relationship Id="rId13" Type="http://schemas.openxmlformats.org/officeDocument/2006/relationships/hyperlink" Target="https://doi.org/10.1080/23308249.2017.1399104" TargetMode="External"/><Relationship Id="rId18" Type="http://schemas.openxmlformats.org/officeDocument/2006/relationships/hyperlink" Target="https://doi.org/10.1016/j.nut.2005.04.002" TargetMode="External"/><Relationship Id="rId3" Type="http://schemas.openxmlformats.org/officeDocument/2006/relationships/settings" Target="settings.xml"/><Relationship Id="rId21" Type="http://schemas.openxmlformats.org/officeDocument/2006/relationships/hyperlink" Target="https://doi.org/10.1016/S0140-6736(21)00394-9" TargetMode="External"/><Relationship Id="rId7" Type="http://schemas.openxmlformats.org/officeDocument/2006/relationships/hyperlink" Target="https://orcid.org/0000-0002-3070-8216" TargetMode="External"/><Relationship Id="rId12" Type="http://schemas.openxmlformats.org/officeDocument/2006/relationships/hyperlink" Target="https://doi.org/10.1088/1742-6596/1943/1/012073" TargetMode="External"/><Relationship Id="rId17" Type="http://schemas.openxmlformats.org/officeDocument/2006/relationships/hyperlink" Target="https://doi.org/10.1179/2046905514Y.0000000158" TargetMode="External"/><Relationship Id="rId2" Type="http://schemas.openxmlformats.org/officeDocument/2006/relationships/styles" Target="styles.xml"/><Relationship Id="rId16" Type="http://schemas.openxmlformats.org/officeDocument/2006/relationships/hyperlink" Target="https://doi.org/10.1007/978-1-4020-6674-0_2" TargetMode="External"/><Relationship Id="rId20" Type="http://schemas.openxmlformats.org/officeDocument/2006/relationships/hyperlink" Target="https://doi.org/10.3390/ijerph20021640"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doi.org/10.1016/J.FOODRES.2014.03.061" TargetMode="External"/><Relationship Id="rId24" Type="http://schemas.openxmlformats.org/officeDocument/2006/relationships/theme" Target="theme/theme1.xml"/><Relationship Id="rId5" Type="http://schemas.openxmlformats.org/officeDocument/2006/relationships/hyperlink" Target="https://orcid.org/0000-0003-1363-3678" TargetMode="External"/><Relationship Id="rId15" Type="http://schemas.openxmlformats.org/officeDocument/2006/relationships/hyperlink" Target="https://doi.org/10.1371/journal.pone.0097598" TargetMode="External"/><Relationship Id="rId23" Type="http://schemas.openxmlformats.org/officeDocument/2006/relationships/glossaryDocument" Target="glossary/document.xml"/><Relationship Id="rId10" Type="http://schemas.openxmlformats.org/officeDocument/2006/relationships/hyperlink" Target="https://doi.org/10.51745/najfnr.7.15.126-135" TargetMode="External"/><Relationship Id="rId19" Type="http://schemas.openxmlformats.org/officeDocument/2006/relationships/hyperlink" Target="https://doi.org/10.1159/000449175" TargetMode="External"/><Relationship Id="rId4" Type="http://schemas.openxmlformats.org/officeDocument/2006/relationships/webSettings" Target="webSettings.xml"/><Relationship Id="rId9" Type="http://schemas.openxmlformats.org/officeDocument/2006/relationships/hyperlink" Target="https://doi.org/10.14710/ijfst.13.1.24-30" TargetMode="External"/><Relationship Id="rId14" Type="http://schemas.openxmlformats.org/officeDocument/2006/relationships/hyperlink" Target="https://doi.org/10.2174/1381612829666230110141811"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550A9B4B784D6CAFFFD41513482DBA"/>
        <w:category>
          <w:name w:val="General"/>
          <w:gallery w:val="placeholder"/>
        </w:category>
        <w:types>
          <w:type w:val="bbPlcHdr"/>
        </w:types>
        <w:behaviors>
          <w:behavior w:val="content"/>
        </w:behaviors>
        <w:guid w:val="{EDB961C1-4D31-4792-8F50-D209892C58ED}"/>
      </w:docPartPr>
      <w:docPartBody>
        <w:p w:rsidR="00000000" w:rsidRDefault="00A058F6" w:rsidP="00A058F6">
          <w:pPr>
            <w:pStyle w:val="D2550A9B4B784D6CAFFFD41513482DBA"/>
          </w:pPr>
          <w:r w:rsidRPr="00A300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F6"/>
    <w:rsid w:val="00092829"/>
    <w:rsid w:val="00100A34"/>
    <w:rsid w:val="00A05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58F6"/>
    <w:rPr>
      <w:color w:val="666666"/>
    </w:rPr>
  </w:style>
  <w:style w:type="paragraph" w:customStyle="1" w:styleId="D2550A9B4B784D6CAFFFD41513482DBA">
    <w:name w:val="D2550A9B4B784D6CAFFFD41513482DBA"/>
    <w:rsid w:val="00A058F6"/>
  </w:style>
  <w:style w:type="paragraph" w:customStyle="1" w:styleId="224D5101000A4E7BA553514561777913">
    <w:name w:val="224D5101000A4E7BA553514561777913"/>
    <w:rsid w:val="00A058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1216</Words>
  <Characters>6937</Characters>
  <Application>Microsoft Office Word</Application>
  <DocSecurity>0</DocSecurity>
  <Lines>57</Lines>
  <Paragraphs>16</Paragraphs>
  <ScaleCrop>false</ScaleCrop>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HANIS KUSUMAWATI</dc:creator>
  <cp:keywords/>
  <dc:description/>
  <cp:lastModifiedBy>HANIS KUSUMAWATI</cp:lastModifiedBy>
  <cp:revision>1</cp:revision>
  <dcterms:created xsi:type="dcterms:W3CDTF">2024-12-16T14:03:00Z</dcterms:created>
  <dcterms:modified xsi:type="dcterms:W3CDTF">2024-12-16T14:09:00Z</dcterms:modified>
</cp:coreProperties>
</file>